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ИЗБОРНОМ ВЕЋУ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ФИЛОЗОФСКОГ ФАКУЛТЕТА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Београд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spacing w:line="360" w:lineRule="auto"/>
        <w:ind w:firstLine="108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CS"/>
        </w:rPr>
        <w:t xml:space="preserve">Одлуком Изборног већа Филозофског факултета у Београду од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Latn-RS"/>
        </w:rPr>
        <w:t>21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CS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RS"/>
        </w:rPr>
        <w:t xml:space="preserve">децембра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CS"/>
        </w:rPr>
        <w:t>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RS"/>
        </w:rPr>
        <w:t>23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CS"/>
        </w:rPr>
        <w:t xml:space="preserve">. године изабрани смо у Комисију за припрему извештаја о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кандидатима који се пријаве на конкурс за избор у звање једног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доцента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за ужу научну област ОПШТА ПЕДАГОГИЈА СА МЕТОДОЛОГИЈОМ И ИСТОРИЈА ПЕДАГОГИЈЕ, са пуним радним временом, на одређено време од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пет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годин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. На конкурс, објављен у листу ''Послови'', од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>3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јануара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24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. године, пријавио се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један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кандидат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-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Наташа Николић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, доцент на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Одељењу за педагогију и андрагогију Филозофског факултета у Београду. Пошто смо прегледали приложену документацију и проучили радове кандидата, у могућности смо да Изборном већу поднесемо следећи </w:t>
      </w:r>
    </w:p>
    <w:p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И  З  В  Е  Ш  Т  А  Ј</w:t>
      </w:r>
    </w:p>
    <w:p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widowControl w:val="0"/>
        <w:spacing w:line="360" w:lineRule="auto"/>
        <w:ind w:firstLine="1134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sr-Cyrl-CS"/>
        </w:rPr>
        <w:t>Наташа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sr-Cyrl-CS"/>
        </w:rPr>
        <w:t>Николић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рођена је 1988. године у Краљеву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, где је завршила основну и средњу школу.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Основне академске студије педагогије на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Филозофск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ом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факултет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Универзитета у Београду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уписала је 2007. године, а завршила 30.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>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6.2011. године, са просечном оценом 9,03. На истом факултету завршила је мастер академске студије педагогије 11.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>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9.2012. године, са просечном оценом 9,67. Испите предвиђене програмом докторских студија педагогије положила је са просечном оценом 9,75.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sr-Cyrl-RS"/>
        </w:rPr>
        <w:t>Завршила је докторске студије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sr-Cyrl-RS"/>
        </w:rPr>
        <w:t>13.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sr-Latn-RS"/>
        </w:rPr>
        <w:t>0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sr-Cyrl-RS"/>
        </w:rPr>
        <w:t>7.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201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sr-Cyrl-RS"/>
        </w:rPr>
        <w:t>8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. године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sr-Cyrl-RS"/>
        </w:rPr>
        <w:t>, о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дбранивши докторску дисертацију на тему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Квалитет проблемски оријентисане наставе и постигнуће ученика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.</w:t>
      </w:r>
    </w:p>
    <w:p>
      <w:pPr>
        <w:spacing w:line="360" w:lineRule="auto"/>
        <w:ind w:firstLine="1134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Филозофском факултету Универзитета у Београду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о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д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априла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2013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године ради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прво као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сарадник у настави и асистент, а од 2019. године бирана је у звање доцента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на Одељењу за педагогију и андрагогију, за ужу научну област Општа педагогија са методологијом и историја педагогије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. Ангажована је у настави на више предмета из области опште педагогије на основним студијама (Општа педагогија, Систем васпитања и образовања, Ваншколска педагогија, Рад са даровитим ученицима, Васпитање кроз уметност и спорт), мастер студијама (Морални развој и морално васпитање) и докторским студијама педагогије (Теорија и пракса моралног васпитања).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Просечна оцена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студентске евалуације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педагошког рада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за период од школске 201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9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/20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. до школске 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22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/20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23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. године износи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CS"/>
        </w:rPr>
        <w:t>4,81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макс. 5).</w:t>
      </w:r>
    </w:p>
    <w:p>
      <w:pPr>
        <w:spacing w:line="360" w:lineRule="auto"/>
        <w:ind w:firstLine="1134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својству аутора или коаутора објави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ла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већи број научних радова и учествова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ла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на научним скуповима и форумима међународног и националног карактера, на којима су разматране актуелне педагошке теме и проблеми.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Била је ангажована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на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научно-истраживачком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пројекту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Института за педагогију и андрагогију чију реализацију подржава Министарство просвете, науке и технолошког развоја РС 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Модели процењивања и стратегије унапређивања квалитета образовања у Србији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'', 2011-2019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)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и на пројекту Филозофског факултета Универзитета у Београду 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Човек и друштво у време кризе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>, 2020).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У својству истраживача учествовала је на пројекту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Припрема будућих просветних радника за рад у инклузивном окружењу, билатерална сарадња Словеније-Србија, 2016-2017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C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Од 2019. године ч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лан је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програмског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одбора научних скупова који се одржавају у оквиру Сусрета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педагога, а које организују Институт за педагогију и андрагогију Филозофског факултета у Београду и Педагошко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друштво Србије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Од 2014. године до данас реализатор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CS"/>
        </w:rPr>
        <w:t xml:space="preserve">je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акредитованих програма за стручно усавршавање запослених у образовању (Методе и облици ефикасне наставе и учења и Оцењивање у функцији ефикасне наставе и учења).</w:t>
      </w:r>
    </w:p>
    <w:p>
      <w:pPr>
        <w:spacing w:line="360" w:lineRule="auto"/>
        <w:ind w:firstLine="1134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Са листе приложене библиографије кандидаткиње одабрали смо за посебан приказ 5 радова које је кандидаткиња објавила:</w:t>
      </w:r>
    </w:p>
    <w:p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34" w:hanging="1134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Илић Рајковић, А.,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 Николић, Н. (2022). Седамдесет година продукције педагошког знања на страницама часописа ,,Настава и васпитање". </w:t>
      </w:r>
      <w:r>
        <w:rPr>
          <w:rFonts w:hint="default" w:ascii="Times New Roman" w:hAnsi="Times New Roman" w:cs="Times New Roman"/>
          <w:b w:val="0"/>
          <w:bCs w:val="0"/>
          <w:i/>
          <w:sz w:val="24"/>
          <w:szCs w:val="24"/>
          <w:lang w:val="sr-Latn-RS"/>
        </w:rPr>
        <w:t>Настава и васпитање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i/>
          <w:sz w:val="24"/>
          <w:szCs w:val="24"/>
          <w:lang w:val="sr-Latn-RS"/>
        </w:rPr>
        <w:t>71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(3), 295-310.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34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  <w:t>Чланак је посвећен анализи часописа Настава и васпитање и његовог доприноса у стварању и ширењу педагошког знања у Србији. Разматране су карактеристике продукције педагошког знања на страницама часописа, давањем одговора на следећа истраживачка питања: ко ствара знања, када, како и зашто се одређена знања појављују, и како се она временом преображавају. Узорак за анализу чине садржаји осам годишта часописа, штампана у размацима од по десет година од његовог оснивања до данас. Основни закључак је да часопис Настава и васпитање представља значајан извор продукције и циркулације различитих облика педагошких знања (теоријских, научно-истраживачких и знања намењених непосредној пракси) у бројним педагошким дисциплинама. У продукцији знања учествују пре свега чланови академске заједнице али и непосредни практичари. Kао такав, часопис од његовог оснивања до данас заузима значајно место у научној и стручној педагошкој јавности.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34" w:hanging="1134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Antonijevi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CS"/>
        </w:rPr>
        <w:t xml:space="preserve">ć R. i Nikolić, N. (2019). The Role of Problem-oriented Teaching in the Process of the Development of Critical and Creative Thinking, in Orlović Lovren, V., Peeters, J., Matović, N. (Eds.): 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sr-Latn-CS"/>
        </w:rPr>
        <w:t xml:space="preserve">Quality of Education: Global Development Goals and Local Strategies </w:t>
      </w:r>
      <w:r>
        <w:rPr>
          <w:rFonts w:hint="default" w:ascii="Times New Roman" w:hAnsi="Times New Roman" w:cs="Times New Roman"/>
          <w:b w:val="0"/>
          <w:bCs w:val="0"/>
          <w:iCs/>
          <w:sz w:val="24"/>
          <w:szCs w:val="24"/>
          <w:lang w:val="sr-Latn-CS"/>
        </w:rPr>
        <w:t>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CS"/>
        </w:rPr>
        <w:t xml:space="preserve">49-63),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Belgrade: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CS"/>
        </w:rPr>
        <w:t xml:space="preserve"> Institute for Pedagogy and Andragogy Faculty of Philosophy, University of Belgrade.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34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  <w:t xml:space="preserve">У раду се анализира улога проблемски оријентисане наставе у процесу интелектуалног васпитања. Полази се од претпоставке да когнитивно изазовне активности које су саставни део процеса решавања проблема у настави повољно утичу на реализацију једног од примарних циљева интелектуалног васпитања, а то је формирање интелектуално независне особе, која уме самостално да размишља и суочава се са изазовима савременог друштва. Узимајући у обзир чињеницу да се мишљење ученика испољава и развија у проблемским ситуацијама, као и да се решавање проблема посматра као процес у коме се кроз ангажовање различитих мисаоних операција долази до решења проблема, у раду се проблемски оријентисана настава представља као повољно наставно окружење за подстицање и развој интелектуалних потенцијала ученика. С тим у вези, анализирају конститутивни елементи проблемски оријентисане наставе и њихова улога у процесу развоја критичког и стваралачког мишљења.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Наводи се да п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  <w:t>роблемски оријентисана настава промовише развој критичког и стваралачког мишљења. Ниво успешности ученика у процесу решавања проблема условљен је нивоом развијености критичког и стваралачког мишљења. Повратно процес решавања проблема, такође, може позитивно деловати на ученичке капацитете.</w:t>
      </w:r>
    </w:p>
    <w:p>
      <w:pPr>
        <w:spacing w:line="360" w:lineRule="auto"/>
        <w:ind w:left="1200" w:leftChars="-5" w:hanging="1212" w:hangingChars="505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Николић, Н. (2023).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>Концептуални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оквири проучавања квалитета у образовању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у Шаљић, З., Дубљанин, С. и Пејатовић, А. (ур.): </w:t>
      </w:r>
      <w:r>
        <w:rPr>
          <w:rFonts w:hint="default" w:ascii="Times New Roman" w:hAnsi="Times New Roman" w:cs="Times New Roman"/>
          <w:b w:val="0"/>
          <w:bCs w:val="0"/>
          <w:i/>
          <w:sz w:val="24"/>
          <w:szCs w:val="24"/>
          <w:lang w:val="sr-Cyrl-RS"/>
        </w:rPr>
        <w:t>Сусрети педагога – Научни скуп „У потрази за квалитетним  образовањем и васпитањем: изазови и могућа решења“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(19-26).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Београд: Педагошко друштво Србије и Институт за педагогију 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ндрагогију Филозофског факултета.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34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  <w:t>У раду се анализирају концептуални оквири проучавања квалитета у образовању. Истиче се да је потреба да се осигура квалитет у образовању глобално прихваћен као један од основних приоритета, међути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м,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  <w:t xml:space="preserve"> иако постоји сагласност да је неопходно осигурати квалитет у образовању, не постоји консензус шта је квалитет у образовању и на који начин се постиже тако да буде једнако дистрибуиран и доступан. Мерила квалитета зависе од доминантно прихваћеног приступа проучавања квалитета у образовању. Да би се обезбедила основа за проучавање и разумевање квалитета у образовању, неопходно је артикулисати концептуалне оквире.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>Концептуална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  <w:t xml:space="preserve"> утемељеност квалитета у образовању олакшава разумевање образовне праксе и ствара могућност да се успостави систем за праћење и вредновање квалитета у образовању. У  раду се анализирају су бихевиористички и хуманистички приступ квалитету у образовању, као и начини на које они обликују образовну праксу у различитим сегментима образовног рада.  Ова два приступа могу се посматрати као два супротна и у великој мери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>супротстављене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  <w:t xml:space="preserve"> концепције образовања. Бихевиористички приступ проучавања квалитета у образовању инсистира на квантитативним, мерљивим резултатима, док мерило квалитета са становишта хуманистичког приступа представљају образовни процеси који се дешавају у школама и учионицама. Међутим, анализом димензија уочено је и да у образовној пракси иако не у истој мери, оба оквира  су у одређеној мери присутни и у потпуности не искључују један другог.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  <w:t xml:space="preserve">Осим очигледних разлика које постоје између бихевиористичког и хуманистичког приступа могу се уочити и извесне сличности између њих. Заједнички именитељ анализираних концептуалних оквира је да су у трагању за квалитетом усмерени на појединачног ученика, односно да недовољно обраћају пажњу на вредновање процеса који би допринели да образовање буде покретач друштвених промена а самим тим и индивидуалног напретка.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34" w:hanging="1134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Николић, Н. (202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).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Могућности подстицања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саморегулације у онлајн окружењу, у Крњаја. Ж., Сенић Ружић, М. и Милошевић, З.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(ур.): </w:t>
      </w:r>
      <w:r>
        <w:rPr>
          <w:rFonts w:hint="default" w:ascii="Times New Roman" w:hAnsi="Times New Roman" w:cs="Times New Roman"/>
          <w:b w:val="0"/>
          <w:bCs w:val="0"/>
          <w:i/>
          <w:sz w:val="24"/>
          <w:szCs w:val="24"/>
          <w:lang w:val="sr-Cyrl-RS"/>
        </w:rPr>
        <w:t>Сусрети педагога – Научни скуп „Образовање у време кризе и како даље“</w:t>
      </w:r>
      <w:r>
        <w:rPr>
          <w:rFonts w:hint="default" w:ascii="Times New Roman" w:hAnsi="Times New Roman" w:cs="Times New Roman"/>
          <w:b w:val="0"/>
          <w:bCs w:val="0"/>
          <w:i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(168-172).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Београд: Педагошко друштво Србије и Институт за педагогију 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ндрагогију Филозофског факултета.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34"/>
        <w:jc w:val="both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Latn-RS" w:eastAsia="zh-CN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Cyrl-RS" w:eastAsia="zh-CN"/>
        </w:rPr>
        <w:t xml:space="preserve">У раду се говори о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Latn-RS" w:eastAsia="zh-CN"/>
        </w:rPr>
        <w:t>знача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Cyrl-RS" w:eastAsia="zh-CN"/>
        </w:rPr>
        <w:t xml:space="preserve">ју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Latn-RS" w:eastAsia="zh-CN"/>
        </w:rPr>
        <w:t>саморегулације у учењу и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Cyrl-RS" w:eastAsia="zh-CN"/>
        </w:rPr>
        <w:t xml:space="preserve"> о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Latn-RS" w:eastAsia="zh-CN"/>
        </w:rPr>
        <w:t xml:space="preserve"> могућности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Cyrl-RS" w:eastAsia="zh-CN"/>
        </w:rPr>
        <w:t>ма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Latn-RS" w:eastAsia="zh-CN"/>
        </w:rPr>
        <w:t xml:space="preserve"> њеног подстицања у онлајн окружењу. Масовни прелазак на онлајн наставу у време пандемије COVID 19 довео је до потребе да се преиспитају изазови са којима се ученици и наставници суочавају у новом окружењу. Специфичности онлајн наставе су условиле да се природа учења трансформише у правцу све веће аутономије и самосталности ученика. То је актуелизовало питања како наши ученици уче и у којој мери су спремни да испоље склоност ка саморегулацији у учењу. С тим у вези у онлајн настави од ученика се очекује да поставља циљеве, осмишљава стратегије за њихово постизање, прати и вреднује напредовање и по потреби редефинише постављене циљеве. Саморегулација у учењу не подразумева да се ученик не суочава са тешкоћама и изазовима у процесу учења, већ да стратешки приступа и процес учења усмерава ка постављеним циљевима. Да би ученици испољили склоност ка самоусмереном учењу неопходно је да се креира окружење које ће им у томе помоћи. Сви актери наставног процеса могу бити подршка развоју вештина саморегулације. У онлајн настави применом дигиталних алата додатно се може унапредити саморегулација у учењу.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34" w:hanging="1134"/>
        <w:jc w:val="both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Latn-RS" w:eastAsia="zh-CN"/>
        </w:rPr>
      </w:pPr>
      <w:r>
        <w:rPr>
          <w:rFonts w:hint="default" w:ascii="Times New Roman" w:hAnsi="Times New Roman" w:eastAsia="Helvetica Neue" w:cs="Times New Roman"/>
          <w:b w:val="0"/>
          <w:bCs w:val="0"/>
          <w:color w:val="000000"/>
          <w:kern w:val="0"/>
          <w:sz w:val="24"/>
          <w:szCs w:val="24"/>
          <w:shd w:val="clear" w:color="auto" w:fill="FFFFFF"/>
          <w:lang w:val="sr-Cyrl-RS"/>
        </w:rPr>
        <w:t>Антонијевић, Р., и Н. Николић (2019). Праведност у образовању: изазови и могућности: у</w:t>
      </w:r>
      <w:r>
        <w:rPr>
          <w:rFonts w:hint="default" w:ascii="Times New Roman" w:hAnsi="Times New Roman" w:eastAsia="Helvetica Neue" w:cs="Times New Roman"/>
          <w:b w:val="0"/>
          <w:bCs w:val="0"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default" w:ascii="Times New Roman" w:hAnsi="Times New Roman" w:eastAsia="Helvetica Neue" w:cs="Times New Roman"/>
          <w:b w:val="0"/>
          <w:bCs w:val="0"/>
          <w:color w:val="000000"/>
          <w:kern w:val="0"/>
          <w:sz w:val="24"/>
          <w:szCs w:val="24"/>
          <w:shd w:val="clear" w:color="auto" w:fill="FFFFFF"/>
          <w:lang w:val="sr-Cyrl-RS"/>
        </w:rPr>
        <w:t>Д. Павловић Бренеселовић, В. Спасеновић и Ш. Алибабић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(ур.): </w:t>
      </w:r>
      <w:r>
        <w:rPr>
          <w:rFonts w:hint="default" w:ascii="Times New Roman" w:hAnsi="Times New Roman" w:cs="Times New Roman"/>
          <w:b w:val="0"/>
          <w:bCs w:val="0"/>
          <w:i/>
          <w:sz w:val="24"/>
          <w:szCs w:val="24"/>
          <w:lang w:val="sr-Cyrl-RS"/>
        </w:rPr>
        <w:t>Сусрети педагога – Научни скуп ''Образовна политика и пракса: у складу или у раскораку''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(49-53).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Београд: Педагошко друштво Србије и Институт за педагогију 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ндрагогију Филозофског факултета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34"/>
        <w:jc w:val="both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Latn-RS" w:eastAsia="zh-CN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Latn-RS" w:eastAsia="zh-CN"/>
        </w:rPr>
        <w:t xml:space="preserve">Овај чланак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Cyrl-RS" w:eastAsia="zh-CN"/>
        </w:rPr>
        <w:t>говори о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Latn-RS" w:eastAsia="zh-CN"/>
        </w:rPr>
        <w:t xml:space="preserve"> могућности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Cyrl-RS" w:eastAsia="zh-CN"/>
        </w:rPr>
        <w:t>ма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Latn-RS" w:eastAsia="zh-CN"/>
        </w:rPr>
        <w:t xml:space="preserve"> и изазов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Cyrl-RS" w:eastAsia="zh-CN"/>
        </w:rPr>
        <w:t>има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Latn-RS" w:eastAsia="zh-CN"/>
        </w:rPr>
        <w:t xml:space="preserve"> изградње праведног образовног система. Припремати младе нараштаје за друштвено одговорно деловање у демократском окружењу јесте идеал који је могуће остварити само у оквирима праведног образовног система. То је систем који подржава и ствара реалне могућности да сви учесници - без обзира на пол, друштвено-економски положај, етничку и расну припадност или неке друге индивидуалне карактеристике - реализују своје развојне потенцијале. Изградња праведног система образовања у коме сви учесници имају једнаки и равноправни положај је сложен и дуготрајан процес који захтева ангажовање на различитим нивоима друштвеног деловања. Постављање системских решења основни је предуслов у процесу остваривања тог циља, али не и довољан услов. Изазов са којим се суочавају образовни системи широм света јесте успешно превођење законске регулативе у свакодневну школску праксу. Поред тога, решавање проблема праведности у образовању захтева и ангажовање значајних материјалних, финансијских и људских ресурса, али и успешну координацију између различитих актера школске заједнице. На нивоу школске заједнице, значајно је промовисати средину која представља праведно и демократско окружење за све њене чланове.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34"/>
        <w:jc w:val="both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Cyrl-CS" w:eastAsia="zh-CN"/>
        </w:rPr>
      </w:pPr>
    </w:p>
    <w:p>
      <w:pPr>
        <w:spacing w:line="360" w:lineRule="auto"/>
        <w:ind w:firstLine="108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На основу претходне анализе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научно-истраживачког рада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комисија констатује да се на конкурс пријавио компетентан кандидат.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>Д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осад је објавила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>12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 радова у научним часописима и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>16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 саопштења штампана у целини са међународних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 и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националних скупова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Проблемима које проучава приступа темељно, радови су теоријски ваљано засновани и методолошки коректно вођени, уз коришћење обимне педагошке литературе на српском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енглеском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језику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. Радови које објављује представљају значајан допринос развоју научне дисциплине којом се бави. Такође, педагошки рад може се оценити високом оценом, јер квалитетно изводи наставу, што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потврђују и оцене добијене у студентској евалуацији. Континуирано прати рад студената и пружа им значајну помоћ у учењу и извршавању наставних обавеза. </w:t>
      </w:r>
    </w:p>
    <w:p>
      <w:pPr>
        <w:spacing w:line="360" w:lineRule="auto"/>
        <w:ind w:firstLine="1080"/>
        <w:jc w:val="both"/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Latn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l-SI"/>
        </w:rPr>
        <w:t xml:space="preserve">На основу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наведеног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>,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l-SI"/>
        </w:rPr>
        <w:t xml:space="preserve"> Комисија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сматра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l-SI"/>
        </w:rPr>
        <w:t xml:space="preserve"> да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Наташа Николић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l-SI"/>
        </w:rPr>
        <w:t xml:space="preserve"> испуњава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услове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l-SI"/>
        </w:rPr>
        <w:t xml:space="preserve">за избор у звање за које конкурише, те стога предлаже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 Изборном већу Филозофског факултета да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је поново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изабере у звање доцента за ужу научну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област Општа педагогија са методологијом и историја педагогије, на Одељењу за педагогију и андрагогију, са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пуним радним временом, на одређено време од 5 година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Latn-CS"/>
        </w:rPr>
        <w:t>.</w:t>
      </w:r>
    </w:p>
    <w:p>
      <w:pPr>
        <w:spacing w:line="240" w:lineRule="auto"/>
        <w:ind w:firstLine="1080"/>
        <w:jc w:val="both"/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CS"/>
        </w:rPr>
      </w:pPr>
    </w:p>
    <w:p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У Београду,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shd w:val="clear"/>
          <w:lang w:val="sr-Latn-RS"/>
        </w:rPr>
        <w:t>12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shd w:val="clear"/>
          <w:lang w:val="sr-Cyrl-CS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shd w:val="clear"/>
          <w:lang w:val="sr-Cyrl-RS"/>
        </w:rPr>
        <w:t>ф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ебруар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24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. године.</w:t>
      </w:r>
    </w:p>
    <w:p>
      <w:pPr>
        <w:spacing w:line="240" w:lineRule="auto"/>
        <w:ind w:left="4140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spacing w:line="36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КОМИСИЈА</w:t>
      </w:r>
    </w:p>
    <w:p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Проф. др Радован Антонијевић, редовни професор</w:t>
      </w: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Филозофски факултет Универзитета у Београду</w:t>
      </w: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____________________________</w:t>
      </w: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spacing w:after="0" w:line="240" w:lineRule="auto"/>
        <w:ind w:firstLine="2520" w:firstLineChars="105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Проф. др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Биљана Бодрошки Спариосу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ванредни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професор</w:t>
      </w: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Филозофски факултет Универзитета у Београду</w:t>
      </w: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____________________________</w:t>
      </w: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Проф. др Јована Милутиновић, редовни професор</w:t>
      </w: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Филозофски факултет Универзитета у Новом Саду</w:t>
      </w: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>
      <w:pPr>
        <w:spacing w:after="0" w:line="24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____________________________</w:t>
      </w:r>
    </w:p>
    <w:p>
      <w:pPr>
        <w:spacing w:line="360" w:lineRule="auto"/>
        <w:ind w:left="2694"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sectPr>
      <w:headerReference r:id="rId5" w:type="default"/>
      <w:headerReference r:id="rId6" w:type="even"/>
      <w:pgSz w:w="12240" w:h="15840"/>
      <w:pgMar w:top="1440" w:right="1800" w:bottom="1440" w:left="1800" w:header="709" w:footer="709" w:gutter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6</w:t>
    </w:r>
    <w:r>
      <w:fldChar w:fldCharType="end"/>
    </w:r>
  </w:p>
  <w:p>
    <w:pPr>
      <w:pStyle w:val="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20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E4806"/>
    <w:rsid w:val="00031881"/>
    <w:rsid w:val="0006084F"/>
    <w:rsid w:val="000617A8"/>
    <w:rsid w:val="000624FB"/>
    <w:rsid w:val="00066B30"/>
    <w:rsid w:val="000B6BEF"/>
    <w:rsid w:val="000C0596"/>
    <w:rsid w:val="000F1EC8"/>
    <w:rsid w:val="00101FD0"/>
    <w:rsid w:val="0010714F"/>
    <w:rsid w:val="001223CF"/>
    <w:rsid w:val="00183993"/>
    <w:rsid w:val="00192FD0"/>
    <w:rsid w:val="001A12E1"/>
    <w:rsid w:val="001B73EB"/>
    <w:rsid w:val="001C6A34"/>
    <w:rsid w:val="001D17D4"/>
    <w:rsid w:val="001E2482"/>
    <w:rsid w:val="001E415A"/>
    <w:rsid w:val="001F4637"/>
    <w:rsid w:val="00201313"/>
    <w:rsid w:val="00207FCE"/>
    <w:rsid w:val="00220F78"/>
    <w:rsid w:val="00226B4C"/>
    <w:rsid w:val="002477CC"/>
    <w:rsid w:val="00264785"/>
    <w:rsid w:val="002847EA"/>
    <w:rsid w:val="002A0CF4"/>
    <w:rsid w:val="002A4783"/>
    <w:rsid w:val="002B69A4"/>
    <w:rsid w:val="002B7C1C"/>
    <w:rsid w:val="002C1125"/>
    <w:rsid w:val="00311CB9"/>
    <w:rsid w:val="00324924"/>
    <w:rsid w:val="00340C82"/>
    <w:rsid w:val="003635EF"/>
    <w:rsid w:val="00367E7A"/>
    <w:rsid w:val="00393653"/>
    <w:rsid w:val="003A1D5A"/>
    <w:rsid w:val="003B1CEB"/>
    <w:rsid w:val="003C3B9D"/>
    <w:rsid w:val="003C7039"/>
    <w:rsid w:val="003D01DD"/>
    <w:rsid w:val="003E0CA4"/>
    <w:rsid w:val="003F2973"/>
    <w:rsid w:val="004057E2"/>
    <w:rsid w:val="00410877"/>
    <w:rsid w:val="0043569E"/>
    <w:rsid w:val="00442848"/>
    <w:rsid w:val="0044411B"/>
    <w:rsid w:val="00445C87"/>
    <w:rsid w:val="004545A1"/>
    <w:rsid w:val="00482E86"/>
    <w:rsid w:val="00485B44"/>
    <w:rsid w:val="00490B57"/>
    <w:rsid w:val="004A10A5"/>
    <w:rsid w:val="004D3227"/>
    <w:rsid w:val="004F6E45"/>
    <w:rsid w:val="005061D1"/>
    <w:rsid w:val="0052017C"/>
    <w:rsid w:val="00533819"/>
    <w:rsid w:val="00563013"/>
    <w:rsid w:val="0057342C"/>
    <w:rsid w:val="0057422B"/>
    <w:rsid w:val="00583B04"/>
    <w:rsid w:val="005856D9"/>
    <w:rsid w:val="00585858"/>
    <w:rsid w:val="00591859"/>
    <w:rsid w:val="005A353F"/>
    <w:rsid w:val="005B5018"/>
    <w:rsid w:val="005C280D"/>
    <w:rsid w:val="005E079D"/>
    <w:rsid w:val="005E3AB5"/>
    <w:rsid w:val="005E3E63"/>
    <w:rsid w:val="006175FC"/>
    <w:rsid w:val="0063008A"/>
    <w:rsid w:val="00632250"/>
    <w:rsid w:val="00653EEF"/>
    <w:rsid w:val="006654DD"/>
    <w:rsid w:val="0068365B"/>
    <w:rsid w:val="00684B8C"/>
    <w:rsid w:val="006A2328"/>
    <w:rsid w:val="006A2D36"/>
    <w:rsid w:val="006D22C4"/>
    <w:rsid w:val="006D5C5F"/>
    <w:rsid w:val="006F121C"/>
    <w:rsid w:val="0072076F"/>
    <w:rsid w:val="00735982"/>
    <w:rsid w:val="00736BE8"/>
    <w:rsid w:val="00744627"/>
    <w:rsid w:val="00745682"/>
    <w:rsid w:val="00750280"/>
    <w:rsid w:val="007563A3"/>
    <w:rsid w:val="00770CB8"/>
    <w:rsid w:val="00772FD7"/>
    <w:rsid w:val="00773CB3"/>
    <w:rsid w:val="00791D8D"/>
    <w:rsid w:val="00794124"/>
    <w:rsid w:val="00802B59"/>
    <w:rsid w:val="00803FEE"/>
    <w:rsid w:val="00806D72"/>
    <w:rsid w:val="00813698"/>
    <w:rsid w:val="0083455C"/>
    <w:rsid w:val="0083588C"/>
    <w:rsid w:val="00861CA2"/>
    <w:rsid w:val="00880724"/>
    <w:rsid w:val="00894641"/>
    <w:rsid w:val="008A0975"/>
    <w:rsid w:val="008D51AB"/>
    <w:rsid w:val="008F3883"/>
    <w:rsid w:val="00944DA7"/>
    <w:rsid w:val="00962D6B"/>
    <w:rsid w:val="009754F4"/>
    <w:rsid w:val="009B047F"/>
    <w:rsid w:val="009E4D49"/>
    <w:rsid w:val="009E6AA5"/>
    <w:rsid w:val="00A27355"/>
    <w:rsid w:val="00A55126"/>
    <w:rsid w:val="00A81D5A"/>
    <w:rsid w:val="00A921F7"/>
    <w:rsid w:val="00A941F8"/>
    <w:rsid w:val="00AA24DF"/>
    <w:rsid w:val="00AA3174"/>
    <w:rsid w:val="00AB6D52"/>
    <w:rsid w:val="00AC0C31"/>
    <w:rsid w:val="00AE78CF"/>
    <w:rsid w:val="00AE7B9A"/>
    <w:rsid w:val="00AF4294"/>
    <w:rsid w:val="00B04992"/>
    <w:rsid w:val="00B103A9"/>
    <w:rsid w:val="00B21891"/>
    <w:rsid w:val="00B24E72"/>
    <w:rsid w:val="00B75905"/>
    <w:rsid w:val="00B86DF2"/>
    <w:rsid w:val="00B97552"/>
    <w:rsid w:val="00BA3838"/>
    <w:rsid w:val="00BC0CF4"/>
    <w:rsid w:val="00BF4EB2"/>
    <w:rsid w:val="00C00633"/>
    <w:rsid w:val="00C1337B"/>
    <w:rsid w:val="00C220EF"/>
    <w:rsid w:val="00C3300A"/>
    <w:rsid w:val="00C65CE5"/>
    <w:rsid w:val="00C96AB9"/>
    <w:rsid w:val="00CC6D58"/>
    <w:rsid w:val="00CF5089"/>
    <w:rsid w:val="00D0011B"/>
    <w:rsid w:val="00D024A7"/>
    <w:rsid w:val="00D0428D"/>
    <w:rsid w:val="00D06010"/>
    <w:rsid w:val="00D07D09"/>
    <w:rsid w:val="00D12C33"/>
    <w:rsid w:val="00D16A15"/>
    <w:rsid w:val="00D31D35"/>
    <w:rsid w:val="00D33274"/>
    <w:rsid w:val="00D37B96"/>
    <w:rsid w:val="00D463E1"/>
    <w:rsid w:val="00D6368D"/>
    <w:rsid w:val="00D64B50"/>
    <w:rsid w:val="00D65CCB"/>
    <w:rsid w:val="00D72B0E"/>
    <w:rsid w:val="00D74C12"/>
    <w:rsid w:val="00D91678"/>
    <w:rsid w:val="00DD108F"/>
    <w:rsid w:val="00DE487E"/>
    <w:rsid w:val="00DE5BEC"/>
    <w:rsid w:val="00DF4D8E"/>
    <w:rsid w:val="00E133D9"/>
    <w:rsid w:val="00E2078B"/>
    <w:rsid w:val="00E23014"/>
    <w:rsid w:val="00E41246"/>
    <w:rsid w:val="00E41C87"/>
    <w:rsid w:val="00E4744B"/>
    <w:rsid w:val="00E92FAB"/>
    <w:rsid w:val="00E943ED"/>
    <w:rsid w:val="00EA23D4"/>
    <w:rsid w:val="00ED0ACE"/>
    <w:rsid w:val="00EF152C"/>
    <w:rsid w:val="00F1731A"/>
    <w:rsid w:val="00F21481"/>
    <w:rsid w:val="00F3206F"/>
    <w:rsid w:val="00F46282"/>
    <w:rsid w:val="00F50E82"/>
    <w:rsid w:val="00F5392A"/>
    <w:rsid w:val="00F54273"/>
    <w:rsid w:val="00F578F0"/>
    <w:rsid w:val="00F60D66"/>
    <w:rsid w:val="00F657D7"/>
    <w:rsid w:val="00F65E88"/>
    <w:rsid w:val="00FA76B6"/>
    <w:rsid w:val="00FB5481"/>
    <w:rsid w:val="00FB700C"/>
    <w:rsid w:val="00FE20B3"/>
    <w:rsid w:val="00FE4A7D"/>
    <w:rsid w:val="00FE4FD7"/>
    <w:rsid w:val="00FE5B7E"/>
    <w:rsid w:val="00FF6B15"/>
    <w:rsid w:val="0FF5284B"/>
    <w:rsid w:val="1AA54A47"/>
    <w:rsid w:val="1C681756"/>
    <w:rsid w:val="1C833C55"/>
    <w:rsid w:val="1CED64CC"/>
    <w:rsid w:val="22F43C96"/>
    <w:rsid w:val="25A74B51"/>
    <w:rsid w:val="27665A32"/>
    <w:rsid w:val="27724E59"/>
    <w:rsid w:val="2D092D6F"/>
    <w:rsid w:val="3137414F"/>
    <w:rsid w:val="32025ADC"/>
    <w:rsid w:val="32E26C1A"/>
    <w:rsid w:val="3F7E79C8"/>
    <w:rsid w:val="42352568"/>
    <w:rsid w:val="42A57DB0"/>
    <w:rsid w:val="4A6F73E2"/>
    <w:rsid w:val="588A419F"/>
    <w:rsid w:val="5D1C050D"/>
    <w:rsid w:val="5D4208EB"/>
    <w:rsid w:val="5DB00021"/>
    <w:rsid w:val="5FB23E7A"/>
    <w:rsid w:val="62A24664"/>
    <w:rsid w:val="69C4339D"/>
    <w:rsid w:val="6A62217D"/>
    <w:rsid w:val="727E3FB3"/>
    <w:rsid w:val="751E4806"/>
    <w:rsid w:val="7874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qFormat/>
    <w:uiPriority w:val="0"/>
    <w:pPr>
      <w:tabs>
        <w:tab w:val="center" w:pos="4702"/>
        <w:tab w:val="right" w:pos="9405"/>
      </w:tabs>
    </w:p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</w:pPr>
    <w:rPr>
      <w:lang w:eastAsia="zh-CN"/>
    </w:rPr>
  </w:style>
  <w:style w:type="character" w:styleId="8">
    <w:name w:val="page number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&#353;a\Desktop\izbor%20u%20docenta\REFERAT%20natasa%20nikolic%202019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REFERAT natasa nikolic 2019</Template>
  <Pages>7</Pages>
  <Words>1780</Words>
  <Characters>10152</Characters>
  <Lines>84</Lines>
  <Paragraphs>23</Paragraphs>
  <TotalTime>17</TotalTime>
  <ScaleCrop>false</ScaleCrop>
  <LinksUpToDate>false</LinksUpToDate>
  <CharactersWithSpaces>11909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2019-05-31T13:26:00Z</dcterms:created>
  <dc:creator>Nataša</dc:creator>
  <cp:lastModifiedBy>Korisnik</cp:lastModifiedBy>
  <dcterms:modified xsi:type="dcterms:W3CDTF">2024-02-12T11:03:57Z</dcterms:modified>
  <dc:title>ИЗБОРНОМ ВЕЋУ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28A55E52861B4C8CB6661457CD4991D0_13</vt:lpwstr>
  </property>
</Properties>
</file>