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lang w:val="sr-RS"/>
        </w:rPr>
        <w:t>Табела 5.2.</w:t>
      </w:r>
      <w:r>
        <w:rPr>
          <w:rFonts w:eastAsia="Times New Roman" w:cs="Times New Roman" w:ascii="Times New Roman" w:hAnsi="Times New Roman"/>
          <w:lang w:val="sr-RS"/>
        </w:rPr>
        <w:t xml:space="preserve"> Спецификација предмета </w:t>
      </w:r>
    </w:p>
    <w:tbl>
      <w:tblPr>
        <w:tblStyle w:val="a"/>
        <w:tblW w:w="946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11"/>
        <w:gridCol w:w="1941"/>
        <w:gridCol w:w="1159"/>
        <w:gridCol w:w="2019"/>
        <w:gridCol w:w="1237"/>
      </w:tblGrid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Студијски програм 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 МАС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lang w:val="sr-RS"/>
              </w:rPr>
              <w:t>Историја писма и књиге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доц.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 др Дејан Џелебџић, проф. др Дејан Лаловић, маг. Исидора Толић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изборан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Уписане мастер студије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Циљ предмета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Први циљ предмета је да се студент упозна са историјом алфабетског писма од његових почетак у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миленијуму пре Хр., како би савремена два писма српског језика могао разумети у историјском контексту. Студент стиче основна знања о историјском развоју књиге од антике, преко средњега века, до штампане књиге. Осим тога, студент треба да се упозна и са изучавањем читања и, посебно, диграфије (двописмености) са становишта психолингвистике. 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Исход предмета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Студент се упознао са историјом алфабетског писма, књиге и савременом психолингвистичким изучавањем читања. 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Садржај предмета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lang w:val="sr-RS"/>
              </w:rPr>
              <w:t>Теоријска настава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1. Увод у теорију писма. Преглед језика света по типу писма. – 2. Главни типови писма (идеографски, силабички, алфабетски). Остали типови писма. – 3. Феничанско писмо, грчки епихорички алфабети и малоазијски алфабети. – 4. Грчки алфабет у хеленистичко-римско доба и Византијском царству. – 5. Латиница на епиграфским споменицима и у рукописима. – 6. Глагољица и старословенска ћирилица: почеци словенске писмености. – 7. Књига у антици. – 8. Књига у средњем веку. – 9. Почеци и развој штампане књиге. – 10. Ћирилица и латиница на српскохрватском говорном простору: историјска перспектива. – 11. Психолингвистички приступ читању. – 12. Читање у језицима са различитим системима писања са становишта психолингвистике.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lang w:val="sr-RS"/>
              </w:rPr>
              <w:t xml:space="preserve">Практична настава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Студенти презентују резултате својих истраживања из области коју су изабрали у договору са наставником. Разговор о презентаццијама.  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Литература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de-AT"/>
              </w:rPr>
              <w:t xml:space="preserve">Schreiben und Lesen in Byzanz. Die byzantinische Buchkultur, München 1989.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 xml:space="preserve">Viktor Novak, Latinska paleografija, Beograd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  <w:lang w:val="sr-Latn-RS"/>
              </w:rPr>
              <w:t>3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>1991.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 – Петар Ђорђић, Историја српске ћирилице, Београд 1971. – Митар Пешикан, Наша азбука и њене норме, Београд 1993. – Д. Лаловић, </w:t>
            </w: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sr-RS"/>
              </w:rPr>
              <w:t>Читање: од слова до текста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, Филозофски факултет у Београду: Београд, 2012, 129-151, 157-176. – М. Ј.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>Traxler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M. A. Gernsbacher: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  <w:t>Handbook of Psycholinguistics 2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vertAlign w:val="superscript"/>
              </w:rPr>
              <w:t>nd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  <w:t xml:space="preserve"> ed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hr-HR"/>
              </w:rPr>
              <w:t xml:space="preserve">Elsevier, New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York, 2006,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поглавље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hr-HR"/>
              </w:rPr>
              <w:t xml:space="preserve">M. Traxler, S. Garrod, A. Sanford: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  <w:t>Observations on the Past and Future of Psycholinguistics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hr-HR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pp. 1-19).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Број часова  активне наставе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30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Методе извођења наставе: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sr-RS"/>
              </w:rPr>
              <w:t>предавања, вежбе и консултације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Предиспитне обавезе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поена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 xml:space="preserve">Завршни испит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активност у току предавања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писмени испит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практична настава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усмени испт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50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колоквијум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  <w:lang w:val="sr-RS"/>
              </w:rPr>
              <w:t>..........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Семинарски рад и презентација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30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54ce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LibreOffice/6.3.4.2$Windows_X86_64 LibreOffice_project/60da17e045e08f1793c57c00ba83cdfce946d0aa</Application>
  <Pages>1</Pages>
  <Words>368</Words>
  <Characters>2298</Characters>
  <CharactersWithSpaces>2658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2020-09-13T17:11:00Z</dcterms:created>
  <dc:creator>korisnik</dc:creator>
  <dc:description/>
  <dc:language>en-GB</dc:language>
  <cp:lastModifiedBy/>
  <dcterms:modified xsi:type="dcterms:W3CDTF">2020-09-26T15:20:09Z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