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rPr>
          <w:rFonts w:eastAsia="Times New Roman" w:cs="Times New Roman" w:ascii="Times New Roman" w:hAnsi="Times New Roman"/>
          <w:b/>
        </w:rPr>
        <w:t>Табела 5.2.</w:t>
      </w:r>
      <w:r>
        <w:rPr>
          <w:rFonts w:eastAsia="Times New Roman" w:cs="Times New Roman" w:ascii="Times New Roman" w:hAnsi="Times New Roman"/>
        </w:rPr>
        <w:t xml:space="preserve"> Спецификација предмета </w:t>
      </w:r>
      <w:r>
        <w:rPr>
          <w:rFonts w:eastAsia="Times New Roman" w:cs="Times New Roman" w:ascii="Times New Roman" w:hAnsi="Times New Roman"/>
          <w:b/>
          <w:i/>
        </w:rPr>
        <w:t>Реторика и култура јавног дискурса</w:t>
      </w:r>
    </w:p>
    <w:tbl>
      <w:tblPr>
        <w:tblStyle w:val="Table1"/>
        <w:tblW w:w="10716" w:type="dxa"/>
        <w:jc w:val="left"/>
        <w:tblInd w:w="57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708"/>
        <w:gridCol w:w="1944"/>
        <w:gridCol w:w="1164"/>
        <w:gridCol w:w="2016"/>
        <w:gridCol w:w="1884"/>
      </w:tblGrid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Студијски програм: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културологије класичног наслеђа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Реторика и култура јавног дискурса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проф. др Војислав Јелић, проф. др Драгана Димитријевић, доц. др Душан Поповић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изборан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Уписане мастер студије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Циљ предмета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Стицање основних знања о античкој реторици и њеној традицији у потоњим вековима, са посебним акцентом на сталним елементима јавног дискурса, који су остали готово непромењени од антике до данас; схватање улоге реторике у јавном дискурсу и способност да се о њој дискутује.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Исход предмета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Студенти имају основна знања о реторици и њеној улози у оквиру јавног дискурса, од антике до данас. Студенти су у стању да аргументовано дискутују о различитим елементима беседничке уметности, уочавајући њихов дијахронијски континуитет.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Садржај предмета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Теоријска настава.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Амбивалентна вредност беседе у самом зачетку теоријског промишљања о њој: улога убеђивања у Горгијиној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Похвали Хелени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софистичка релативизација истине и Платонова реакција на њу.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. Периклова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Надгробна беседа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код Тукидида као пример практичне примене реторике у контексту погребног обреда у Атини класичног периода: објашњење значења, симболâ, функција и адресатâ ове гране беседништва.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3.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Употреба реторске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хрије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у циљу исказивања философских уверења: киничари користе мешавину збиље и хумора (σπουδογέλοιον) како би исмејали богаташе, моћнике и послушнике.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Римска реторска теорија: анонимни приручник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Rhetorica ad Herennium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Цицеронов дијалог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De Oratore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Квинтилијанов уџбеник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Institutio Oratoria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5.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Цицеронове беседе против Марка Антонија као врхунац римског републиканског беседништва.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6.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Политика и пропаганда у латинским панегирицима из збирке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XII Panegyrici Latini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7.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Препород реторике  у списима и деловању хуманиста: залагање за снажну изражајност речи (verba) и остварење људске личности кроз говор (sermo) код шпанског хуманисте Х. Л. Вивеса.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8.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Значај реторике за образовање у ренесанси, првенствено код Еразма Ротердамског: наставак античког начела о недељивости говора и писања.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9.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Философска и морална питања у језуитској реторичкој традицији, тзв. ioco-seria: парадокс  и промишљање о узалудности људског сазнања на шаљив начин.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10.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Реторика у служби борбе за људска и грађанска права (Томас Мор, Џон Адамс, Жан Жак Дантон, Елизабет Стентон).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11.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Политичко беседништво у XX и XXI веку.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12.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Најлепше беседе српскога језика (Свети Сава, Доситеј Обрадовић, Матија Бећковић).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Практична настава.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Студенти читају одабране одломке из репрезенттивних узорака беседничке уметности и аргументовано дискутују о њима.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>
            <w:pPr>
              <w:pStyle w:val="Normal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Blanchard, J.-V.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L'optique du discours au XVIIe siècle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Laval 2005. </w:t>
            </w:r>
          </w:p>
          <w:p>
            <w:pPr>
              <w:pStyle w:val="Normal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Connors, R. J., Ede, L. S., Lunsford, A. A. (eds.)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Essays on Classical Rhetoric and Modern Discourse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Carbondale – Edwardsville 1984.</w:t>
            </w:r>
          </w:p>
          <w:p>
            <w:pPr>
              <w:pStyle w:val="Normal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Corbett, E. P. J.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Classical Rhetoric for the Modern Student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Oxford - New York 1965.</w:t>
            </w:r>
          </w:p>
          <w:p>
            <w:pPr>
              <w:pStyle w:val="Normal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Desbordes, F.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La rhétorique antique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Paris 1996.</w:t>
            </w:r>
          </w:p>
          <w:p>
            <w:pPr>
              <w:pStyle w:val="Normal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Loraux, N.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The Invention of Athens: the Funeral Oration, Cambridge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Mass. 1986.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Vickers, B.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In Defence of Rhetoric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Oxford - New York 1988.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***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Аврамовић, С.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Rhetorike techne: Вештина беседништва и јавни наступ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Београд 2008.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Димитријевић, Д. „Аутоцитати у Цицероновим беседама”,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Studia Classica Serdicensia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1 (2010), 269-277.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 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Јелић, В.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ΠΡΟΓΥΜΝΑΣΜΑΤΑ ретора Афтонија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Београд 1997.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Поповић, Д.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Хермогенове и Присцијанове припремне вежбе за беседнике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Београд 2007.</w:t>
            </w:r>
          </w:p>
        </w:tc>
      </w:tr>
      <w:tr>
        <w:trPr>
          <w:trHeight w:val="227" w:hRule="atLeast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Методе извођења наставе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предавања, семинари, дискусије, групни рад, презентације.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>
        <w:trPr>
          <w:trHeight w:val="227" w:hRule="atLeast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поена</w:t>
            </w:r>
          </w:p>
        </w:tc>
      </w:tr>
      <w:tr>
        <w:trPr>
          <w:trHeight w:val="227" w:hRule="atLeast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практична настава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усмени испт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60</w:t>
            </w:r>
          </w:p>
        </w:tc>
      </w:tr>
      <w:tr>
        <w:trPr>
          <w:trHeight w:val="227" w:hRule="atLeast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1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-C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C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C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LibreOffice/6.3.4.2$Windows_X86_64 LibreOffice_project/60da17e045e08f1793c57c00ba83cdfce946d0aa</Application>
  <Pages>1</Pages>
  <Words>529</Words>
  <Characters>3283</Characters>
  <CharactersWithSpaces>3790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dcterms:modified xsi:type="dcterms:W3CDTF">2020-09-26T15:15:04Z</dcterms:modified>
  <cp:revision>1</cp:revision>
  <dc:subject/>
  <dc:title/>
</cp:coreProperties>
</file>