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164" w:rsidRDefault="00441BD9">
      <w:pPr>
        <w:pStyle w:val="normal0"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ИЗБОРНОМ ВЕЋУ ФИЛОЗОФСКОГ ФАКУЛТЕТА УНИВЕРЗИТЕТА У БЕОГРАДУ</w:t>
      </w:r>
    </w:p>
    <w:p w:rsidR="00272164" w:rsidRDefault="00272164">
      <w:pPr>
        <w:pStyle w:val="normal0"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Одлуком Изборног већа Универзитета у Београду – Филозофског факултета од  25.09.2020. године изабрани смо у комисију за припрему реферата о кандидатима за избор у звање доцента за ужу научну област КЛАСИЧНЕ НАУКЕ, са пуним радним временом на одређено време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од 5 година.</w:t>
      </w: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На конкурс објављен у Огласним новинама Националне службе за запошљавање „Послови“ бр. 902 од 07.10.2020. године пријавио се један кандидат, др Душан Поповић, класични филолог и доцент на Одељењу за класичне науке Универзитета у Београду – Ф</w:t>
      </w:r>
      <w:r>
        <w:rPr>
          <w:rFonts w:ascii="Times New Roman" w:eastAsia="Times New Roman" w:hAnsi="Times New Roman" w:cs="Times New Roman"/>
          <w:sz w:val="24"/>
          <w:szCs w:val="24"/>
        </w:rPr>
        <w:t>илозофског факултета.</w:t>
      </w: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Након прегледа документације и радова које је кандидат приложио, подносимо Изборном већу Универзитета у Београду – Филозофског факултета следећи</w:t>
      </w:r>
    </w:p>
    <w:p w:rsidR="00272164" w:rsidRDefault="00272164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2164" w:rsidRDefault="00441BD9">
      <w:pPr>
        <w:pStyle w:val="normal0"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РЕФЕРАТ</w:t>
      </w:r>
    </w:p>
    <w:p w:rsidR="00272164" w:rsidRDefault="00272164">
      <w:pPr>
        <w:pStyle w:val="normal0"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Кандидат: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др Душан Поповић</w:t>
      </w:r>
    </w:p>
    <w:p w:rsidR="00272164" w:rsidRDefault="00272164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Душан Поповић рођен је 04.05.1972. године у Беогр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аду. Гимназију је завршио такође у Београду. Дипломирао је на Одељењу за класичне науке Филозофског факултета у Београду 1997. године. На истом Одељењу магистрирао је 2003. године са темом „Хермогенова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Προγυμνάσματα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Присцијанова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Praeexercitamenta</w:t>
      </w:r>
      <w:r>
        <w:rPr>
          <w:rFonts w:ascii="Times New Roman" w:eastAsia="Times New Roman" w:hAnsi="Times New Roman" w:cs="Times New Roman"/>
          <w:sz w:val="24"/>
          <w:szCs w:val="24"/>
        </w:rPr>
        <w:t>“. Докто</w:t>
      </w:r>
      <w:r>
        <w:rPr>
          <w:rFonts w:ascii="Times New Roman" w:eastAsia="Times New Roman" w:hAnsi="Times New Roman" w:cs="Times New Roman"/>
          <w:sz w:val="24"/>
          <w:szCs w:val="24"/>
        </w:rPr>
        <w:t>рску дисертацију „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Дросила и Харикле </w:t>
      </w:r>
      <w:r>
        <w:rPr>
          <w:rFonts w:ascii="Times New Roman" w:eastAsia="Times New Roman" w:hAnsi="Times New Roman" w:cs="Times New Roman"/>
          <w:sz w:val="24"/>
          <w:szCs w:val="24"/>
        </w:rPr>
        <w:t>– стиховани роман Никите Евгенијана (Традиција и иновација у оквирима византијског романа XII столећа)“ (ментор: проф. др Војислав Јелић) одбранио је на Одељењу за класичне науке Филозофског факултета у Београду 2010. го</w:t>
      </w:r>
      <w:r>
        <w:rPr>
          <w:rFonts w:ascii="Times New Roman" w:eastAsia="Times New Roman" w:hAnsi="Times New Roman" w:cs="Times New Roman"/>
          <w:sz w:val="24"/>
          <w:szCs w:val="24"/>
        </w:rPr>
        <w:t>дине.</w:t>
      </w: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Убрзо по дипломирању Поповић се запошљава као асистент-приправник на Одељењу за класичне науке Филозофског факултета у Београду. За асистента на предмету Историја хеленске књижевности на истом Одељењу изабран је 2004. и реизабран 2008.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године, а за </w:t>
      </w:r>
      <w:r>
        <w:rPr>
          <w:rFonts w:ascii="Times New Roman" w:eastAsia="Times New Roman" w:hAnsi="Times New Roman" w:cs="Times New Roman"/>
          <w:sz w:val="24"/>
          <w:szCs w:val="24"/>
        </w:rPr>
        <w:t>доцента за исти предмет биран је 2011. и 2016. године. Истовремено, био је ангажован као предавач и наставник за изборни предмет Грчки језик (намењен студентима археологије, филозофије, историје и историје уметности).</w:t>
      </w: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За време последњег изборног периода 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ио је ангажован на научном пројекту Министарства просвете, науке и технолошког развоја Републике Србије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Хришћанска култура на Балкану у средњем веку: Византијско царство, Срби и Бугари од 9. до 15. века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(ев. бр. 177015). </w:t>
      </w: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Од последњег избора у звање доцен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2016. године Поповић је објавио следеће радове:</w:t>
      </w: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Чланци:</w:t>
      </w:r>
    </w:p>
    <w:p w:rsidR="00272164" w:rsidRDefault="00441BD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„Pseudo-tragica Prodromea: о сенци патетике над сјајем византијске световне књижевности“,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Зборник радова Византолошког института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LVI (2019), 109-29.</w:t>
      </w:r>
    </w:p>
    <w:p w:rsidR="00272164" w:rsidRDefault="00441BD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„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Drosilla and Charicles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an Instance of the Ambivalent Classical Conception of Literary Emulation in Middle Byzantine Context“,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Lucida intervalla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XLVIII (2019), 165-73.</w:t>
      </w:r>
    </w:p>
    <w:p w:rsidR="00272164" w:rsidRDefault="00441BD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„Средњовизантијске поетске монодије с посебним освртом на две Евгенијанове песме у спомен на Продрома“,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Lucida intervalla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XLVII (2018), 277-86.</w:t>
      </w: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Рад са научног скупа штампан у целини:</w:t>
      </w: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„Modes of Showing the Emotions in the Byzantine Novel“, у: Lj. Radenović – D. Dimitrijević – I. Akkad (ed.),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Pathe: the Language and Philosophy of Emotions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Belgrade 2019, 185-9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</w:p>
    <w:p w:rsidR="00272164" w:rsidRDefault="00272164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2164" w:rsidRDefault="00441BD9">
      <w:pPr>
        <w:pStyle w:val="normal0"/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Будући да сви ови радови представљају оригиналан допринос кандидата ужој научној области и предмету за које се бира, приказаћемо укратко сваки од њих понаособ.</w:t>
      </w:r>
    </w:p>
    <w:p w:rsidR="00272164" w:rsidRDefault="00441BD9">
      <w:pPr>
        <w:pStyle w:val="normal0"/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раду „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Pseudo-tragica Prodromea: о сенци патетике над сјајем византијске световне књижевности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анализирајући првенствено изворе oд I до III певања стихованог романа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Роданта и Досикле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Теодора Продрома, аутор настоји да укаже на огроман уплив Еурипидових драма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настанак мотивâ, општих места и стилских фигура у овом роману, као и да нагласи у којој мери су се те трагедиографске компоненте уклопиле у логичку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структуру друкчијег књижевног рода, с једне стране, а колико оне, с друге стране, за романописца представљај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баласт и чисто „учени” украс којим се постиже искључиво патетичност. За разлику од улоге Нове атичке комедије у настанку романа као посебног књижевног рода, у хеленистичко-римском периоду хеленске књижевности, утицај трагедије у том смислу много је мање </w:t>
      </w:r>
      <w:r>
        <w:rPr>
          <w:rFonts w:ascii="Times New Roman" w:eastAsia="Times New Roman" w:hAnsi="Times New Roman" w:cs="Times New Roman"/>
          <w:sz w:val="24"/>
          <w:szCs w:val="24"/>
        </w:rPr>
        <w:t>проучен. Ово још више важи за романе византијског XII столећа. Стога је било неопходно детаљније указати на присуство античке трагедиографије, конкретно на примеру Еурипидових драма, у романескном спису Теодора Продрома, једног од оснивача тог жанра у Виза</w:t>
      </w:r>
      <w:r>
        <w:rPr>
          <w:rFonts w:ascii="Times New Roman" w:eastAsia="Times New Roman" w:hAnsi="Times New Roman" w:cs="Times New Roman"/>
          <w:sz w:val="24"/>
          <w:szCs w:val="24"/>
        </w:rPr>
        <w:t>нтији. Показало се да његов роман – прецизније речено, његова прва три певања, изузета из целине дела ради концизности и прегледности анализе – обилује алузијама, мотивима, фразама, стилским фигурама, па и дословним цитатима, преузетим из опсежног опуса то</w:t>
      </w:r>
      <w:r>
        <w:rPr>
          <w:rFonts w:ascii="Times New Roman" w:eastAsia="Times New Roman" w:hAnsi="Times New Roman" w:cs="Times New Roman"/>
          <w:sz w:val="24"/>
          <w:szCs w:val="24"/>
        </w:rPr>
        <w:t>г најпопуларнијег, у византијској и нововековној епохи, античког грчког трагедиографа. И овом приликом потврђено је претежно присуство пасусâ који припадају оним трима Еурипидовим трагедијама које су у Византији задобиле „канонски“ статус у односу на остал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– а реч је о тзв. византијској тријади, која је обухватала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Хекабу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Ореста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Феничанке</w:t>
      </w:r>
      <w:r>
        <w:rPr>
          <w:rFonts w:ascii="Times New Roman" w:eastAsia="Times New Roman" w:hAnsi="Times New Roman" w:cs="Times New Roman"/>
          <w:sz w:val="24"/>
          <w:szCs w:val="24"/>
        </w:rPr>
        <w:t>. Међутим, испоставило се да су неке друге, мање „етаблиране“ Еурипидове драме, а нарочито оне са срећним крајем, такође у извесној мери присутне у Продромовом роману.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ако сматра аутор чланка, разлог томе може се тражити и у чињеници да те драме, које углвном потичу из познијег периода Еурипидовог стваралаштва (а међу њима се истиче поменути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Орест</w:t>
      </w:r>
      <w:r>
        <w:rPr>
          <w:rFonts w:ascii="Times New Roman" w:eastAsia="Times New Roman" w:hAnsi="Times New Roman" w:cs="Times New Roman"/>
          <w:sz w:val="24"/>
          <w:szCs w:val="24"/>
        </w:rPr>
        <w:t>), садрже изненадне обрте који, по правилу, доводе до избављења протагонист</w:t>
      </w:r>
      <w:r>
        <w:rPr>
          <w:rFonts w:ascii="Times New Roman" w:eastAsia="Times New Roman" w:hAnsi="Times New Roman" w:cs="Times New Roman"/>
          <w:sz w:val="24"/>
          <w:szCs w:val="24"/>
        </w:rPr>
        <w:t>â из безизланих околности, те њиховог спасења; управо то их чини блиским главним особеностима заплета у роману. Све у свему, иако преостаје још много посла око испитивања свеобухватног утицаја Еурипида на византијске романописце, ипак, на основу овде проуч</w:t>
      </w:r>
      <w:r>
        <w:rPr>
          <w:rFonts w:ascii="Times New Roman" w:eastAsia="Times New Roman" w:hAnsi="Times New Roman" w:cs="Times New Roman"/>
          <w:sz w:val="24"/>
          <w:szCs w:val="24"/>
        </w:rPr>
        <w:t>ене грађе, аутор чланка долази до прелиминарног општег закључка у случају Продромовог романа: иако је очигледна пишчева намера да на што интензивнији начин дочара патње протагониста тиме што, интертекстуално, укључује одређене изразе – па чак и читаве секв</w:t>
      </w:r>
      <w:r>
        <w:rPr>
          <w:rFonts w:ascii="Times New Roman" w:eastAsia="Times New Roman" w:hAnsi="Times New Roman" w:cs="Times New Roman"/>
          <w:sz w:val="24"/>
          <w:szCs w:val="24"/>
        </w:rPr>
        <w:t>енце трагичких стихова – у ткиво свог романа, он ипак неретко не успева да постигне намеравани ефекат, па често скреће у неосновану патетику; при свему томе, такође, не може се искључити ни извесна Продромова ироничка или пародистичка намера.</w:t>
      </w:r>
    </w:p>
    <w:p w:rsidR="00272164" w:rsidRDefault="00441BD9">
      <w:pPr>
        <w:pStyle w:val="normal0"/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Рад „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Drosilla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and Charicles: an Instance of the Ambivalent Classical Conception of Literary Emulation in Middle Byzantine Context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“ бави се романом Никите Евгенијана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Дросила и Харикле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као производом двоструког подражавања. С једне стране, он је, истовремено, обликован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узору на античке романе и као имитација романа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Роданта и Досикле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Теодора Продрома. С друге стране, још једна особеност је важнија од ове промене у већ „етаблираном“ жанру романа: у Продромовом делу, наиме, постоје бројне позајмице из античких романопис</w:t>
      </w:r>
      <w:r>
        <w:rPr>
          <w:rFonts w:ascii="Times New Roman" w:eastAsia="Times New Roman" w:hAnsi="Times New Roman" w:cs="Times New Roman"/>
          <w:sz w:val="24"/>
          <w:szCs w:val="24"/>
        </w:rPr>
        <w:t>аца које никада нису назначене као такве. У Евгенијановом тексту, међутим, јављају се две изричите алузије на два античка романа, чији се протагонисти цитирају. Пошто је то редак случај у византијској књижевности, аутор чланка приступа његовој анализи. Већ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је одавно установљено да антички роман, као жанр, углавном представља неку врсту колажа, начињеног од разноразних књижевних алузија које се дотичу античке митологије, историографије, епске поезије и комедије, те да делимично одражава све ове жанрове истов</w:t>
      </w:r>
      <w:r>
        <w:rPr>
          <w:rFonts w:ascii="Times New Roman" w:eastAsia="Times New Roman" w:hAnsi="Times New Roman" w:cs="Times New Roman"/>
          <w:sz w:val="24"/>
          <w:szCs w:val="24"/>
        </w:rPr>
        <w:t>ремено. Овај тип књижевних упућивања веома прикладно је описан изразом „естетика рецепције“. С друге стране, исти литерарни поступак се, такође, у великој мери може приписати и византијским писцима тзв. учених романа из 12. столећа, будући да је за њих ари</w:t>
      </w:r>
      <w:r>
        <w:rPr>
          <w:rFonts w:ascii="Times New Roman" w:eastAsia="Times New Roman" w:hAnsi="Times New Roman" w:cs="Times New Roman"/>
          <w:sz w:val="24"/>
          <w:szCs w:val="24"/>
        </w:rPr>
        <w:t>стотеловско начело подражавања стварности било много мање значајно од мимезе књижевних дела по себи. Ову особеност романâ из доба Комнинâ, што је такође уочено, допуњује још једна карактеристика, а то је да се у њима може наићи и на одраз књижевних алузија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преузетих из њихових античких узора. Сва три у потпуности сачувана византијска романа – тј.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Роданта и Досикле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Теодора Продрома,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Дросила и Харикле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Никите Евгенијана 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Измина и Изминија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Евстатија Макремволита – обилују мање-више јасним реминисценцијама на и</w:t>
      </w:r>
      <w:r>
        <w:rPr>
          <w:rFonts w:ascii="Times New Roman" w:eastAsia="Times New Roman" w:hAnsi="Times New Roman" w:cs="Times New Roman"/>
          <w:sz w:val="24"/>
          <w:szCs w:val="24"/>
        </w:rPr>
        <w:t>стоврсне античке књижевне саставе, али велики број таквих алузија, боље рећи крипто-цитата, може се наћи нарочито у другопоменутом  роману. Конкретно, реч је о говору из 6. књиге Евгенијановог списа, дужине од преко 200 стихова, који читаоцима износи извес</w:t>
      </w:r>
      <w:r>
        <w:rPr>
          <w:rFonts w:ascii="Times New Roman" w:eastAsia="Times New Roman" w:hAnsi="Times New Roman" w:cs="Times New Roman"/>
          <w:sz w:val="24"/>
          <w:szCs w:val="24"/>
        </w:rPr>
        <w:t>ни младић по имену Калидем у покушају да заведе јунакињу романа; да би то постигао, као аргументе убеђивања он употребљава широк репертоар чувених љубавних догодовштина из класичног и хеленистичког доба, чије набрајање поприма комично дејство, имајући у ви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ду да је овај говор замишљен као формална беседа у складу са свим правилима реторике. Најзанимљивија особеност овог пасуса је та да Калидем овде, осим Хомера,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Платона, Мусеја и Теокрита, непосредно цитира или алудира још и на два античка, тзв. софистичка 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омана, која потичу из позноримског периода хеленске књижевности, а то су Хелиодоров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Теаген и Хариклеја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Лонгов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Дафнид и Хлоја</w:t>
      </w:r>
      <w:r>
        <w:rPr>
          <w:rFonts w:ascii="Times New Roman" w:eastAsia="Times New Roman" w:hAnsi="Times New Roman" w:cs="Times New Roman"/>
          <w:sz w:val="24"/>
          <w:szCs w:val="24"/>
        </w:rPr>
        <w:t>: њихови протагонисти, као и неколики споредни ликови, наиме, изричито су употребљени у својству примера, чија је сврха убеђивање,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некој врсти поигравања са старијом традицијом жанра. У овом ауторском прилогу учињен је покушај да се овакав поступак у оквирима античког романескног жанра доведе у везу са осталим средњовизантијским књижевноисторијским и књижевнокритичким вредновањима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неколиких представника истог жанра, која су износиле личности таквог значаја као што је Михаило Псел, нпр. у свом огледу о Хелиодору и Ахилу Татију, али и неки мање утицајни писци, какав је Филип „Философ“, у свом алегоријском тумачењу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Етиопске повести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 условом да се поистовети са Филагатом из Керамија и, тиме, овај његов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opusculum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датира у 12. столеће). С друге стране, што се Лонговог романа тиче, много је теже наћи разлог за овакво поступање, будући да су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Дафнид и Хлоја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далеко ређе коментарисани и да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ни изблиза нису доживели онако разгранату рукописну предају као, примера ради, Хелиодор или Ахил Татије; али, чини се вероватним да је интертекстуална употреба Лонговог списа од стране Евгенијана била условљена буколском атмосфером која преовладава 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Дроси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ли и Хариклу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Коначно, закључује аутор, изгледа да није безразложно устврдити како Евгенијаново знатно ослањање на теме и мотиве код Теокрита одражава почетак обновљеног занимања византијских писаца за буколску поезију, чији ће утицај у наредним столећима </w:t>
      </w:r>
      <w:r>
        <w:rPr>
          <w:rFonts w:ascii="Times New Roman" w:eastAsia="Times New Roman" w:hAnsi="Times New Roman" w:cs="Times New Roman"/>
          <w:sz w:val="24"/>
          <w:szCs w:val="24"/>
        </w:rPr>
        <w:t>расти, првенствено захваљујући њеном читању у алегоријском „кључу“.</w:t>
      </w:r>
    </w:p>
    <w:p w:rsidR="00272164" w:rsidRDefault="00441BD9">
      <w:pPr>
        <w:pStyle w:val="normal0"/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раду „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Средњовизантијске поетске монодије с посебним освртом на две Евгенијанове песме у спомен на Продрома</w:t>
      </w:r>
      <w:r>
        <w:rPr>
          <w:rFonts w:ascii="Times New Roman" w:eastAsia="Times New Roman" w:hAnsi="Times New Roman" w:cs="Times New Roman"/>
          <w:sz w:val="24"/>
          <w:szCs w:val="24"/>
        </w:rPr>
        <w:t>“ аутор настоји да, између осталог, и на примеру двају стихованих елегичних саст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ава Никите Евгенијана поводом смрти Теодора Продрома, прикаже неколике начине приступа том још од античког периода популарном жанру, нарочито имајући у виду компаративне елементе Евгенијановог, тематски идентичног, прозног списа. Предмет проучавања у овом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прилогу може се редефинисати нешто опширнијим појмовима – овде се аутор бави неким особеностима рецепције античког књижевног жанра посмртне поезије у средњовизантијском периоду уопште, а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нарочито њеним манифестацијама код писаца 12. столећа; пажња је усмер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ена пре свега на поетске саставе ретора Никите Евгенијана, посвећене успомени на његовог учитеља и пријатеља, чувеног књижевника тог доба, Теодора Продрома. Првопоменути је, осим тога, на исту тему написао и тзв. монодију у прози, која би, у ширем смислу,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спадала под жанр ἐπιτάφιος λόγος, а правила о њему саставио је још у античко доба Менандар Ретор у своме спису под насловом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Приручник за свечано беседнишптво</w:t>
      </w:r>
      <w:r>
        <w:rPr>
          <w:rFonts w:ascii="Times New Roman" w:eastAsia="Times New Roman" w:hAnsi="Times New Roman" w:cs="Times New Roman"/>
          <w:sz w:val="24"/>
          <w:szCs w:val="24"/>
        </w:rPr>
        <w:t>. С друге стране, познати су и бројни стиховани састави са истом тематиком, написани како у византи</w:t>
      </w:r>
      <w:r>
        <w:rPr>
          <w:rFonts w:ascii="Times New Roman" w:eastAsia="Times New Roman" w:hAnsi="Times New Roman" w:cs="Times New Roman"/>
          <w:sz w:val="24"/>
          <w:szCs w:val="24"/>
        </w:rPr>
        <w:t>јском дванаестерцу, тако и у дактилском хексаметру. Узимајући у обзир та и таква дела и сравњујући их са Евгенијанοвим стиховима с посмртном тематиком, аутор чланка је могао да устврди како се ови последњи уклапају у традицију која је започета крајем 10. с</w:t>
      </w:r>
      <w:r>
        <w:rPr>
          <w:rFonts w:ascii="Times New Roman" w:eastAsia="Times New Roman" w:hAnsi="Times New Roman" w:cs="Times New Roman"/>
          <w:sz w:val="24"/>
          <w:szCs w:val="24"/>
        </w:rPr>
        <w:t>толећа – у истоврсним списима Нићифора Урана, Јована Мавропода, Христофора Митиленског и Михаила Псела – и која је своју усавршеност нашла управо у списима самог Продрома. Аутор је, такође, утврдио како се само као срачуната може протумачити чињеница да 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Евгенијан употребио исту врсту стиха (јампски триметар, одн. византијски дванаестерац) – како у поменутим песмама, тако и у свом љубавно-авантуристичком роману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Дросила и Харикле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 имајући у виду огроман утицај који су, на препород античког грчког романа </w:t>
      </w:r>
      <w:r>
        <w:rPr>
          <w:rFonts w:ascii="Times New Roman" w:eastAsia="Times New Roman" w:hAnsi="Times New Roman" w:cs="Times New Roman"/>
          <w:sz w:val="24"/>
          <w:szCs w:val="24"/>
        </w:rPr>
        <w:t>у средњо- и позновизантијској епохи, извршили садржаји и стилистичка средства својствени     књижевном жанру надгробне беседе. Коначно, аутор открива и то да поједини претходни византолошки прилози проучавању ове теме садрже неколике непрецизности (као и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чигледну нетачност у једном случају), не само у погледу разликâ у садржају и стилу између Евгенијанове прозне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Монодије</w:t>
      </w:r>
      <w:r>
        <w:rPr>
          <w:rFonts w:ascii="Times New Roman" w:eastAsia="Times New Roman" w:hAnsi="Times New Roman" w:cs="Times New Roman"/>
          <w:sz w:val="24"/>
          <w:szCs w:val="24"/>
        </w:rPr>
        <w:t>, с једне, и његових песама писаних у дванаестерцима и хексаметрима, с друге стране, него и међу тим двема песмама понаособ.</w:t>
      </w: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 раду са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учног скупа објављеном у целини „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Modes of Showing the Emotions in the Byzantine Novel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</w:rPr>
        <w:t>полазећи од дефиниције појма πάθος, коју дају најутицајнији хеленски аутори, пре свих Аристотел и писци реторских προγυμνάσματα, писац саопштења настоји да покаже на ко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ји начин су се њихова начела одразила на развој прозних жанрова (пре свега античког љубавно-авантуристичког романа), а нарочито на тзв. учени византијски роман 12. столећа. Анализирајући начине на које су се исказивала различита осећања и страсти (као што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су страх, гнев, бол, љубав, или усамљеност), првенствено од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стране протагониста романâ, аутор рада је дошао до извесних закључака о сличностима и разликама делâ четворице дванаестовековних византијских романописаца, и то не само међу собом, него и у односу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текстове друкчије жанровске припадности: прво, истрајност с којом Никита Евгенијан и, на друкчији начин, Евстатије Макремволит посежу за еротском метафориком наводи на претпоставку да је, у време владавине византијске династије Комнинâ, роман тежио да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 ослободи облика својствених античкој приповедној књижевности; друго, ови писци на реалистичан начин истичу жудње које обузимају протагонисте и, стога, осећање љубави поприма нијансе које су несумњиво различите од оних традиционалних; треће, нарочито је </w:t>
      </w:r>
      <w:r>
        <w:rPr>
          <w:rFonts w:ascii="Times New Roman" w:eastAsia="Times New Roman" w:hAnsi="Times New Roman" w:cs="Times New Roman"/>
          <w:sz w:val="24"/>
          <w:szCs w:val="24"/>
        </w:rPr>
        <w:t>код Евгенијана стилистичка игра заснована на подражавању – тиме што црпи из традиције, овај писац чини мање трауматичним раскид са приповедним поступцима који одликују антички роман, иако притом не прекорачује морал, својствен како античким, тако и византи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јским текстовима ове врсте (једно од основних правила жанра, а то је да се заљубљени пар мора придржавати чедности); и четврто, романописац у својству подражаваоца не држи се стриктно сопственог књижевног наслеђа, него покушава да га прилагоди укусу своје </w:t>
      </w:r>
      <w:r>
        <w:rPr>
          <w:rFonts w:ascii="Times New Roman" w:eastAsia="Times New Roman" w:hAnsi="Times New Roman" w:cs="Times New Roman"/>
          <w:sz w:val="24"/>
          <w:szCs w:val="24"/>
        </w:rPr>
        <w:t>публике, али читалац, упркос томе, ипак бива изненађен, будући да препознаје теме и ситуације на које је већ наилазио у делима неке друге жанровске провенијенције.</w:t>
      </w:r>
    </w:p>
    <w:p w:rsidR="00272164" w:rsidRDefault="00441BD9">
      <w:pPr>
        <w:pStyle w:val="normal0"/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Поред чланака у међународном и домаћем часопису и рада на научном скупу, Поповић је приложио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своја саопштења и на још неколико научних конференција, чији су сажеци доступни било у књигама резима или у електронској форми.</w:t>
      </w: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У току последњег изборног периода Поповић је учествовао у комисијама за оцену и одбрану докторске дисертације (две у матичној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установи, а једна на Филолошком факултету у Београду). Био је и члан комисија за више завршних академских и мастер радова.</w:t>
      </w: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Резултати педагошке евалуације показују да је Поповоић одличан предавач: просечна оцена педагошког рада наставника у претходних пет школских година износи 4,83.</w:t>
      </w:r>
    </w:p>
    <w:p w:rsidR="00272164" w:rsidRDefault="00272164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2164" w:rsidRDefault="00272164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2164" w:rsidRDefault="00272164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основу свега изнетог Комисија је једногласно донела овај</w:t>
      </w:r>
    </w:p>
    <w:p w:rsidR="00272164" w:rsidRDefault="00441BD9">
      <w:pPr>
        <w:pStyle w:val="normal0"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ЗАКЉУЧАК:</w:t>
      </w: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На основу објављених </w:t>
      </w:r>
      <w:r>
        <w:rPr>
          <w:rFonts w:ascii="Times New Roman" w:eastAsia="Times New Roman" w:hAnsi="Times New Roman" w:cs="Times New Roman"/>
          <w:sz w:val="24"/>
          <w:szCs w:val="24"/>
        </w:rPr>
        <w:t>радова и досадашњег научног и наставног рада др Душан Поповић испуњава услове за избор у звање доцента за ужу научну област КЛАСИЧНЕ НАУКЕ.</w:t>
      </w: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Стога предлажемо Изборном већу Универзитета у Београду – Филозофског факултета да се др Душан Поповић изабере за доц</w:t>
      </w:r>
      <w:r>
        <w:rPr>
          <w:rFonts w:ascii="Times New Roman" w:eastAsia="Times New Roman" w:hAnsi="Times New Roman" w:cs="Times New Roman"/>
          <w:sz w:val="24"/>
          <w:szCs w:val="24"/>
        </w:rPr>
        <w:t>ента за ужу научну област КЛАСИЧНЕ НАУКЕ.</w:t>
      </w:r>
    </w:p>
    <w:p w:rsidR="00272164" w:rsidRDefault="00272164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2164" w:rsidRDefault="00441BD9">
      <w:pPr>
        <w:pStyle w:val="normal0"/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 Београду, 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sz w:val="24"/>
          <w:szCs w:val="24"/>
        </w:rPr>
        <w:t>. 11. 2020. године.</w:t>
      </w:r>
    </w:p>
    <w:p w:rsidR="00272164" w:rsidRDefault="00272164">
      <w:pPr>
        <w:pStyle w:val="normal0"/>
        <w:spacing w:after="12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72164" w:rsidRDefault="00441BD9">
      <w:pPr>
        <w:pStyle w:val="normal0"/>
        <w:spacing w:after="12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:rsidR="00272164" w:rsidRDefault="00441BD9">
      <w:pPr>
        <w:pStyle w:val="normal0"/>
        <w:spacing w:after="12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проф. др Војислав Јелић</w:t>
      </w:r>
    </w:p>
    <w:p w:rsidR="00272164" w:rsidRDefault="00441BD9">
      <w:pPr>
        <w:pStyle w:val="normal0"/>
        <w:spacing w:after="12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(председавајући Комисије)</w:t>
      </w:r>
    </w:p>
    <w:p w:rsidR="00272164" w:rsidRDefault="00272164">
      <w:pPr>
        <w:pStyle w:val="normal0"/>
        <w:spacing w:after="12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2164" w:rsidRDefault="00441BD9">
      <w:pPr>
        <w:pStyle w:val="normal0"/>
        <w:spacing w:after="12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</w:t>
      </w:r>
    </w:p>
    <w:p w:rsidR="00272164" w:rsidRDefault="00441BD9">
      <w:pPr>
        <w:pStyle w:val="normal0"/>
        <w:spacing w:after="12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проф.  др Ненад Ристовић</w:t>
      </w:r>
    </w:p>
    <w:p w:rsidR="00272164" w:rsidRDefault="00272164">
      <w:pPr>
        <w:pStyle w:val="normal0"/>
        <w:spacing w:after="12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72164" w:rsidRDefault="00441BD9">
      <w:pPr>
        <w:pStyle w:val="normal0"/>
        <w:spacing w:after="12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</w:t>
      </w:r>
    </w:p>
    <w:p w:rsidR="00272164" w:rsidRDefault="00441BD9">
      <w:pPr>
        <w:pStyle w:val="normal0"/>
        <w:spacing w:after="12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доц. др Ана Елаковић,</w:t>
      </w:r>
    </w:p>
    <w:p w:rsidR="00272164" w:rsidRDefault="00441BD9">
      <w:pPr>
        <w:pStyle w:val="normal0"/>
        <w:spacing w:after="12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доцент на Филолошком факултету у Београду</w:t>
      </w:r>
    </w:p>
    <w:p w:rsidR="00272164" w:rsidRDefault="00272164">
      <w:pPr>
        <w:pStyle w:val="normal0"/>
        <w:spacing w:after="12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272164" w:rsidSect="0027216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BD9" w:rsidRDefault="00441BD9" w:rsidP="001228A3">
      <w:pPr>
        <w:spacing w:after="0" w:line="240" w:lineRule="auto"/>
        <w:ind w:left="0" w:hanging="2"/>
      </w:pPr>
      <w:r>
        <w:separator/>
      </w:r>
    </w:p>
  </w:endnote>
  <w:endnote w:type="continuationSeparator" w:id="1">
    <w:p w:rsidR="00441BD9" w:rsidRDefault="00441BD9" w:rsidP="001228A3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164" w:rsidRDefault="00272164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fldChar w:fldCharType="begin"/>
    </w:r>
    <w:r w:rsidR="00441BD9">
      <w:rPr>
        <w:color w:val="000000"/>
      </w:rPr>
      <w:instrText>PAGE</w:instrText>
    </w:r>
    <w:r w:rsidR="001228A3">
      <w:rPr>
        <w:color w:val="000000"/>
      </w:rPr>
      <w:fldChar w:fldCharType="separate"/>
    </w:r>
    <w:r w:rsidR="001228A3">
      <w:rPr>
        <w:noProof/>
        <w:color w:val="000000"/>
      </w:rPr>
      <w:t>1</w:t>
    </w:r>
    <w:r>
      <w:rPr>
        <w:color w:val="000000"/>
      </w:rPr>
      <w:fldChar w:fldCharType="end"/>
    </w:r>
  </w:p>
  <w:p w:rsidR="00272164" w:rsidRDefault="00272164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BD9" w:rsidRDefault="00441BD9" w:rsidP="001228A3">
      <w:pPr>
        <w:spacing w:after="0" w:line="240" w:lineRule="auto"/>
        <w:ind w:left="0" w:hanging="2"/>
      </w:pPr>
      <w:r>
        <w:separator/>
      </w:r>
    </w:p>
  </w:footnote>
  <w:footnote w:type="continuationSeparator" w:id="1">
    <w:p w:rsidR="00441BD9" w:rsidRDefault="00441BD9" w:rsidP="001228A3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164" w:rsidRDefault="00272164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  <w:p w:rsidR="00272164" w:rsidRDefault="00272164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2164"/>
    <w:rsid w:val="001228A3"/>
    <w:rsid w:val="00272164"/>
    <w:rsid w:val="00441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rmal0"/>
    <w:autoRedefine/>
    <w:hidden/>
    <w:qFormat/>
    <w:rsid w:val="00272164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0"/>
    <w:next w:val="normal0"/>
    <w:rsid w:val="002721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2721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2721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2721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27216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27216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72164"/>
  </w:style>
  <w:style w:type="paragraph" w:styleId="Title">
    <w:name w:val="Title"/>
    <w:basedOn w:val="normal0"/>
    <w:next w:val="normal0"/>
    <w:rsid w:val="00272164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autoRedefine/>
    <w:hidden/>
    <w:qFormat/>
    <w:rsid w:val="00272164"/>
    <w:pPr>
      <w:ind w:left="720"/>
      <w:contextualSpacing/>
    </w:pPr>
    <w:rPr>
      <w:rFonts w:ascii="Times New Roman" w:hAnsi="Times New Roman"/>
      <w:sz w:val="24"/>
    </w:rPr>
  </w:style>
  <w:style w:type="paragraph" w:styleId="Header">
    <w:name w:val="header"/>
    <w:basedOn w:val="Normal"/>
    <w:autoRedefine/>
    <w:hidden/>
    <w:qFormat/>
    <w:rsid w:val="00272164"/>
    <w:pPr>
      <w:tabs>
        <w:tab w:val="center" w:pos="4680"/>
        <w:tab w:val="right" w:pos="9360"/>
      </w:tabs>
    </w:pPr>
  </w:style>
  <w:style w:type="character" w:customStyle="1" w:styleId="HeaderChar">
    <w:name w:val="Header Char"/>
    <w:autoRedefine/>
    <w:hidden/>
    <w:qFormat/>
    <w:rsid w:val="00272164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Footer">
    <w:name w:val="footer"/>
    <w:basedOn w:val="Normal"/>
    <w:autoRedefine/>
    <w:hidden/>
    <w:qFormat/>
    <w:rsid w:val="00272164"/>
    <w:pPr>
      <w:tabs>
        <w:tab w:val="center" w:pos="4680"/>
        <w:tab w:val="right" w:pos="9360"/>
      </w:tabs>
    </w:pPr>
  </w:style>
  <w:style w:type="character" w:customStyle="1" w:styleId="FooterChar">
    <w:name w:val="Footer Char"/>
    <w:autoRedefine/>
    <w:hidden/>
    <w:qFormat/>
    <w:rsid w:val="00272164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rsid w:val="002721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EcrqZzgT9Hm5sKaEhY6CRQW3sA==">AMUW2mWrfEpCUTe8D1274FPv91Ppq3EywWK3hgfnI46Xm2CeJ/Fv8quseY91/AEj24DsJ2xnhW9bS6mlGWvuhC1fcd4QuT+zNCJVkLu7meFKf/ck0sp7ERw=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2352</Words>
  <Characters>13411</Characters>
  <Application>Microsoft Office Word</Application>
  <DocSecurity>0</DocSecurity>
  <Lines>111</Lines>
  <Paragraphs>31</Paragraphs>
  <ScaleCrop>false</ScaleCrop>
  <Company/>
  <LinksUpToDate>false</LinksUpToDate>
  <CharactersWithSpaces>15732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Korisnik</cp:lastModifiedBy>
  <cp:revision>2</cp:revision>
  <dcterms:created xsi:type="dcterms:W3CDTF">2020-11-24T11:16:00Z</dcterms:created>
  <dcterms:modified xsi:type="dcterms:W3CDTF">2020-11-24T11:16:00Z</dcterms:modified>
</cp:coreProperties>
</file>