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НАСТАВНО-НАУЧНОМ ВЕЋУ ФИЛОЗОФСКОГ ФАКУЛТЕТА УНИВЕРЗИТЕТА У БЕОГРАДУ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Извештај о избору др Ивана Нишавића у звање научни сарадник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Пошто смо на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 редовној седници Наставно-научног већа Филозофског факултета, одржаној 27. 06. 2019. године изабрани у Комисију за писање извештаја о избору кандидата др Ивана Нишавића у звање научног сарадника, подносимо следећи извештај.</w:t>
      </w:r>
    </w:p>
    <w:p w:rsidR="00D278D1" w:rsidRPr="00447B5D" w:rsidRDefault="00D278D1" w:rsidP="003F26DA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Биографија кандидата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Иван Нишавић је рођен 11. 12. 1984. године у Бијелом Пољу (Црна Гора). Основну и средњу школу завршио је у Бару, а студије на Филозофском факултету у Београду уписује 2006. године. Завршни рад на тему „Епикур о чулном свједочансту“ брани 2012. године, а  завршни мастер рад на тему „Епикурови „чулни подаци“ у свијетлу савремених теорија опажања“ 2013. године. Докторску дисертацију „Епикурова филозофска психологија“ је одбранио 2019. године, такође на Филозофском факултету Универзитета у Београду. До сада је објавио пет научних радова у националним часописима и учествовао на два научна скупа на којима је имао саопштења. </w:t>
      </w:r>
    </w:p>
    <w:p w:rsidR="00D278D1" w:rsidRPr="00447B5D" w:rsidRDefault="00D278D1" w:rsidP="003F26D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Учествовао је у реализацији наставе на предмету Филозофија образовања одраслих (на студијској групи за Андрагогију), током зимског семестра у периоду од 2016 – 2019. године, као и на предмету Хеленистичка филозофија (студијска група за Филозофију) током зимског семестра 2019. године. Области његових интересовања су хеленистичка филозофија, етика, епистемологија и филозофија образовања.</w:t>
      </w:r>
    </w:p>
    <w:p w:rsidR="00D278D1" w:rsidRPr="00447B5D" w:rsidRDefault="00D278D1" w:rsidP="003F26DA">
      <w:pPr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Током студија се активно бавио кошарком, као и у кошаркашкој екипи Филозофског факултета, све до 2015. године. Истакнут је члан Спортског удружења Филозофског факултета, у ком је, поред тога што је тренер кошаркашке екипе, био ангажован у организацији и спровођењу многих културно-спортских догађаја и манифестација.</w:t>
      </w:r>
    </w:p>
    <w:p w:rsidR="00D278D1" w:rsidRPr="00447B5D" w:rsidRDefault="00D278D1" w:rsidP="003F26DA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Анализа научних резултата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Рецензирани радови у научним часописима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1) „Епикур и чулни подаци“, </w:t>
      </w:r>
      <w:r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4 (2015)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У тексту Епикур и чулни подаци понуђена је анализа епикурејске епистемологије из савремене перспективе. Наиме, Епикур своја епистемолошка разматрања заснива на три основна критеријума сазнања: опажање,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пролепсис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 и осећања. У тексту је највише пажње посвећено опажању као основном и једином начину стицања знања о спољашњем свету. Људски чулни апарат је такве природе да је пријемчив за спољашње надражаје који у виду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еидола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тј. слика које одашиљу предмети, долазе до нас. Као такви, сви опажаји који дођу до нас су, по Епикуру, истинити. Опажање је пасиван процес, а чула су алогична, те оно што до нас дође споља као надражај или опажај мора бити истинито. Основна проблематика која се анализира у тексту тиче се управо тих питања: на који начин је могуће оправдати овако јаку тврдњу (да су сви опажаји истинити), као и постављање његове теорије опажања под неку од савремених опажајних теорија. Значајан научни допринос овог текста састоји се у успеху Ивана Нишавића да Епикурову позицију лоцира у индиректни реализам.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2) “</w:t>
      </w:r>
      <w:r>
        <w:rPr>
          <w:rFonts w:ascii="Times New Roman" w:hAnsi="Times New Roman" w:cs="Times New Roman"/>
          <w:sz w:val="24"/>
          <w:szCs w:val="24"/>
        </w:rPr>
        <w:t>Dissapearing Knowledge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”,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Филозофија и друштво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4 (2016)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Текст „Знање које нестаје“ бави се анализом основних ставова контекстуалистичке позиције у односу на појам знања, с посебним освртом на разматрање које је понудио Дејвид Луис, којем је циљ био решавање уобичајених епистемолошких проблема, па међу њима и проблем лутријског парадокса. Контекстуалисти појам знања не узимају у јединственом и непроменљивом значењу, као што то чине заступници инваријантисичке позиције, већ сматрају да су критеријуми за знање променљиви и да зависе од одређених околности или контекста, као и од жеља или намера саговорника. Луис као контекстуалиста сматра да знање увек може бити погрешиво (фолибилизам) и уводи правила захваљујући којима можемо исправно елиминисати алтернативне могућности, што би требало да му омогући и решавање поменутог парадокса. Утемељимо ли знање на вероватноћи и условимо ли га околностима у којима оно бива формирано, не преостаје нам ништа друго до да прихватимо да је могуће нешто знати или не знати у зависности од тога да ли су стандарди за знање високи или ниски. Посматрано на тај начин, може се десити да у једном случају имамо знање а у другом немамо, а да се ништа није променило осим конверзационих услова или околности. Дироуз сматра да је такво „час га има, час га нема“ знање непоуздано и непостојано, а Иван Нишавић показује да га, с обзиром да оно следи из Луисове анализе, не би требало прихватити.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3) „Епикуров морал и правда“,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Култура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154 (2017)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У тексту Епикуров морал и правда понуђен је осврт на Епикурово индивидуалистичко и егоистично схватање етике које може бити у конфликту са неком врстом друштвеног уговора, ако можемо позајмити такву формулацију и искористити је у сврхе хеленистичких расправа о начину функционисања друштва. Циљеви епиурејске етике су у потпуности одређени личним преференцијама и хедонистичким принцпом који, иако често погрешно интерпретирани, јесу неконзистентни са схватањем друштвеног благостања у ширем контексту или пак опште добробити. Иван Нишавић нуди анализу и сучељавање поменутих позиција на основу којих је могуће видети да Епикур не искључује у потпуности социјални аспект етике, као и да његова етичка позиција није искључиво индивидуалистичка. Нишавић у овом тексту убедљиво показује да овако формулисан „друштвени уговор“ није довољан да обезбеди универзалну примену предвиђених правила и норми.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4) „Образовање одраслих и Епикурова филозофско-хедонистичка школа“,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Андрагошке студије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1 (2018)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Иван Нишавић се у тексту бави епикурејском филозофском школом, која нуди један свеобухватан и перманентан образовни процес, у који могу да буду укључени сви заинтересовани – не само мушка деца богатих атинских племића, већ и сиромашни грађани, жене и робови. Хедонизам као идеја представља узимање уживања као јединог критеријума вредновања етичких радњи, и он се може пренети и на образовни процес који се одвијао у „Врту“, како је називана Епикурова школа. У средишту Нишавићевих интересовања јесте епикурејско рационално и одмерено анализирање сопствених жеља и прохтева зарад достизања потпуног уживања, које се огледа у одсуству физичких болова (</w:t>
      </w:r>
      <w:r w:rsidRPr="003F26DA">
        <w:rPr>
          <w:rFonts w:ascii="Times New Roman" w:hAnsi="Times New Roman" w:cs="Times New Roman"/>
          <w:i/>
          <w:iCs/>
          <w:sz w:val="24"/>
          <w:szCs w:val="24"/>
        </w:rPr>
        <w:t>aponia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) и неимању душевних узнемирености (</w:t>
      </w:r>
      <w:r w:rsidRPr="003F26DA">
        <w:rPr>
          <w:rFonts w:ascii="Times New Roman" w:hAnsi="Times New Roman" w:cs="Times New Roman"/>
          <w:i/>
          <w:iCs/>
          <w:sz w:val="24"/>
          <w:szCs w:val="24"/>
        </w:rPr>
        <w:t>ataraxia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). Након тога се артикулише и образлаже веза између основних циљева епикурејске етике и образовног процеса, који се огледа у прпремању субјекта за управљање својим животом, за шта је неопходно разумети образовни процес као целоживотни задатак. Изузетан допринос Нишавићевог текста састоји се у увиђању тесне везе између уживања и образовања кроз неколико принципа који су чинили окосницу епикурејске школе, као што су образовање као релаксација, самоостваривање и лична афирмација, инсистирање на критичком просуђивању и практична примена наученог. Уз све то, Епикур је сматрао да ће нас упознатост са природом и процесима који леже у њеној основи ослободити највећих страхова (страх од богова и страх од смрти), што ће свакако допринети квалитету наших живота.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5) “</w:t>
      </w:r>
      <w:r>
        <w:rPr>
          <w:rFonts w:ascii="Times New Roman" w:hAnsi="Times New Roman" w:cs="Times New Roman"/>
          <w:sz w:val="24"/>
          <w:szCs w:val="24"/>
        </w:rPr>
        <w:t>Learning the Unknown: The Potential of Liminal Space for Adult Education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”,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Андрагошке студије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1 (2019)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Оно што аутори покушавају да понуде јесте потенцијал лиминалности у образовању одраслих, доводећи га у везу са већ оформљеним идејом „педагогије догађаја“. Образовање усмерено и унапред одређено резултатима учења у циљу остваривања највеће и најсврсисходније користи наставе и учења, како се уобичајено замишља идеја идеалног образовног система, стоји насупрот „педагогији догађаја“ која детаљно испитује такве педагошке императиве. Замисао је да се другачијим приступу учења начини искорак ван уобичајених и утврђених граница и аутори настоје да понуде филозофску основу за саму идеју границе процеса учења, као и извесне импликације коју то може имати по само образовање. Самим тим, лиминалност представља ризик, што је изазов за образовне праксе, посебно за оне којима је циљ нормализација и дисциплина. Тај ризик се највише огледа у самој отворености према непознатом, као и у прихватању могућности суштинске промене која може наступити код појединца.</w:t>
      </w: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spacing w:before="24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color w:val="00000A"/>
          <w:sz w:val="24"/>
          <w:szCs w:val="24"/>
          <w:lang w:val="sr-Cyrl-CS"/>
        </w:rPr>
        <w:tab/>
        <w:t>Квантификација радова је видљива из библиографије:</w:t>
      </w:r>
    </w:p>
    <w:p w:rsidR="00D278D1" w:rsidRDefault="00D278D1" w:rsidP="003F26DA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D278D1" w:rsidRPr="00447B5D" w:rsidRDefault="00D278D1" w:rsidP="003F26DA">
      <w:pPr>
        <w:spacing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Радови у националном часопису међународног значаја (М24)</w:t>
      </w:r>
    </w:p>
    <w:p w:rsidR="00D278D1" w:rsidRPr="00447B5D" w:rsidRDefault="00D278D1" w:rsidP="000C16F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„Епикур и чулни подаци“, </w:t>
      </w:r>
      <w:r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 4 БИБЛИД 0351–2274: (2015): 58: п. 121–139.            </w:t>
      </w:r>
    </w:p>
    <w:p w:rsidR="00D278D1" w:rsidRPr="00447B5D" w:rsidRDefault="00D278D1" w:rsidP="003F26D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ДОИ: 10.2298/ТХЕО1504121Н</w:t>
      </w:r>
    </w:p>
    <w:p w:rsidR="00D278D1" w:rsidRPr="00447B5D" w:rsidRDefault="00D278D1" w:rsidP="000C16F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</w:rPr>
        <w:t>Dissapearing Knowledge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“,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Филозофија и друштво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 (4), 2016. стр. 869–883. </w:t>
      </w:r>
    </w:p>
    <w:p w:rsidR="00D278D1" w:rsidRPr="00447B5D" w:rsidRDefault="00D278D1" w:rsidP="003F26D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ДОИ: 10.2298/ФИД1604869Н</w:t>
      </w:r>
    </w:p>
    <w:p w:rsidR="00D278D1" w:rsidRPr="00447B5D" w:rsidRDefault="00D278D1" w:rsidP="003F26D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„Образовање одраслих и Епикурова филозофско-хедонистичка школа“,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Андрагошке студије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, иссн 0354–5415, број 1, јун 2018, стр. 9–27. </w:t>
      </w:r>
    </w:p>
    <w:p w:rsidR="00D278D1" w:rsidRPr="00447B5D" w:rsidRDefault="00D278D1" w:rsidP="003F26D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ДОИ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:10.5937/АНДСТУД1801009Н</w:t>
      </w:r>
    </w:p>
    <w:p w:rsidR="00D278D1" w:rsidRDefault="00D278D1" w:rsidP="000C16F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>Коауторство са др Маја Максимовић, „</w:t>
      </w:r>
      <w:r>
        <w:rPr>
          <w:rFonts w:ascii="Times New Roman" w:hAnsi="Times New Roman" w:cs="Times New Roman"/>
          <w:sz w:val="24"/>
          <w:szCs w:val="24"/>
        </w:rPr>
        <w:t>Learning the Unknown: The Potential of Liminal Space for Adult Education</w:t>
      </w:r>
      <w:r>
        <w:rPr>
          <w:rFonts w:ascii="Times New Roman" w:hAnsi="Times New Roman" w:cs="Times New Roman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C16F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Андрагошке студије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>, број 1, јун 2019.</w:t>
      </w:r>
    </w:p>
    <w:p w:rsidR="00D278D1" w:rsidRPr="001A158A" w:rsidRDefault="00D278D1" w:rsidP="001A158A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>ДОИ</w:t>
      </w:r>
      <w:r w:rsidRPr="001A158A">
        <w:rPr>
          <w:rFonts w:ascii="Times New Roman" w:hAnsi="Times New Roman" w:cs="Times New Roman"/>
        </w:rPr>
        <w:t>:10.5937/</w:t>
      </w:r>
      <w:r>
        <w:rPr>
          <w:rFonts w:ascii="Times New Roman" w:hAnsi="Times New Roman" w:cs="Times New Roman"/>
          <w:lang w:val="sr-Cyrl-CS"/>
        </w:rPr>
        <w:t>АНДСТУД</w:t>
      </w:r>
      <w:r w:rsidRPr="001A158A">
        <w:rPr>
          <w:rFonts w:ascii="Times New Roman" w:hAnsi="Times New Roman" w:cs="Times New Roman"/>
        </w:rPr>
        <w:t>1801009</w:t>
      </w:r>
      <w:r>
        <w:rPr>
          <w:rFonts w:ascii="Times New Roman" w:hAnsi="Times New Roman" w:cs="Times New Roman"/>
          <w:lang w:val="sr-Cyrl-CS"/>
        </w:rPr>
        <w:t>Н</w:t>
      </w:r>
    </w:p>
    <w:p w:rsidR="00D278D1" w:rsidRPr="00447B5D" w:rsidRDefault="00D278D1" w:rsidP="003F26D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D278D1" w:rsidRPr="00447B5D" w:rsidRDefault="00D278D1" w:rsidP="003F26D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278D1" w:rsidRPr="00447B5D" w:rsidRDefault="00D278D1" w:rsidP="003F26D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Радови у националном часопису</w:t>
      </w:r>
    </w:p>
    <w:p w:rsidR="00D278D1" w:rsidRPr="00447B5D" w:rsidRDefault="00D278D1" w:rsidP="003F26D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D278D1" w:rsidRPr="00447B5D" w:rsidRDefault="00D278D1" w:rsidP="003F26D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„Епикуров морал и правда“,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Култура</w:t>
      </w:r>
      <w:r w:rsidRPr="00447B5D">
        <w:rPr>
          <w:rFonts w:ascii="Times New Roman" w:hAnsi="Times New Roman" w:cs="Times New Roman"/>
          <w:sz w:val="24"/>
          <w:szCs w:val="24"/>
          <w:lang w:val="sr-Cyrl-CS"/>
        </w:rPr>
        <w:t xml:space="preserve"> (154), 2017. стр. 389 – 398. </w:t>
      </w:r>
    </w:p>
    <w:p w:rsidR="00D278D1" w:rsidRPr="00447B5D" w:rsidRDefault="00D278D1" w:rsidP="003F26DA">
      <w:pPr>
        <w:pStyle w:val="ListParagraph"/>
        <w:spacing w:line="240" w:lineRule="auto"/>
        <w:jc w:val="both"/>
        <w:rPr>
          <w:rFonts w:ascii="Times New Roman" w:eastAsia="ArialMT" w:hAnsi="Times New Roman" w:cs="Times New Roman"/>
          <w:sz w:val="24"/>
          <w:szCs w:val="24"/>
          <w:lang w:val="sr-Cyrl-CS"/>
        </w:rPr>
      </w:pPr>
      <w:r w:rsidRPr="00447B5D">
        <w:rPr>
          <w:rFonts w:ascii="Times New Roman" w:eastAsia="ArialMT" w:hAnsi="Times New Roman" w:cs="Times New Roman"/>
          <w:sz w:val="24"/>
          <w:szCs w:val="24"/>
          <w:lang w:val="sr-Cyrl-CS"/>
        </w:rPr>
        <w:t>ДОИ: 10.5937/култура1754389Н</w:t>
      </w:r>
    </w:p>
    <w:p w:rsidR="00D278D1" w:rsidRPr="00447B5D" w:rsidRDefault="00D278D1" w:rsidP="003F26D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278D1" w:rsidRPr="00447B5D" w:rsidRDefault="00D278D1" w:rsidP="003F26D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 w:eastAsia="sr-Latn-CS"/>
        </w:rPr>
      </w:pPr>
      <w:r w:rsidRPr="00447B5D">
        <w:rPr>
          <w:rFonts w:ascii="Times New Roman" w:hAnsi="Times New Roman" w:cs="Times New Roman"/>
          <w:noProof/>
          <w:sz w:val="24"/>
          <w:szCs w:val="24"/>
          <w:lang w:val="sr-Cyrl-CS"/>
        </w:rPr>
        <w:t>Из библиографије и</w:t>
      </w:r>
      <w:r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анализе се јасно види да је др</w:t>
      </w:r>
      <w:r w:rsidRPr="00447B5D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Иван Нишавић изузетно активан у свом научном ангажману. Теме докторске дисертације и објављених радова показују да је научно истраживање др Ивана Нишавића усредсређено на области хеленистичке филозофије, филозофије образовања одраслих и епистемологије. Кандидат се темељно бави Епикуром и епикурејском традицијом у историји хеленистичке филозофије, применом њених увида у контексту андрагогије, контекстуалистичком теоријом сазнања, као и применом тих епистемолошких увида у контексту филозофије образовања одраслих. 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У својим радовима прегледно структуира и аргументовано образлаже тезе и идеје које заступа, користећи н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ајновију релевантну литературу.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Кандидат познаје и прати савремене дискусије и разматрања у оквиру датих области филозофије и даје особене и оригиналне одговоре на становишта и идеје појединих филозофа. Такође, изузетно добро води вежбе на предметима у оквиру основних студија филозофије на којима је ангажован. Поред ових активности на Филозофском факултету у Београду, др Иван Нишавић учествује у раду Међународне филозофске школе </w:t>
      </w:r>
      <w:r w:rsidRPr="00447B5D">
        <w:rPr>
          <w:rFonts w:ascii="Times New Roman" w:hAnsi="Times New Roman" w:cs="Times New Roman"/>
          <w:i/>
          <w:iCs/>
          <w:sz w:val="24"/>
          <w:szCs w:val="24"/>
          <w:lang w:val="sr-Cyrl-CS" w:eastAsia="sr-Latn-CS"/>
        </w:rPr>
        <w:t>Феликс Ромулијана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у Зајечару и Интернационалне филозофске школе у Сплиту.</w:t>
      </w: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noProof/>
          <w:sz w:val="24"/>
          <w:szCs w:val="24"/>
          <w:lang w:val="sr-Cyrl-CS"/>
        </w:rPr>
        <w:tab/>
      </w: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</w:pPr>
      <w:r w:rsidRPr="00447B5D">
        <w:rPr>
          <w:rFonts w:ascii="Times New Roman" w:hAnsi="Times New Roman" w:cs="Times New Roman"/>
          <w:b/>
          <w:bCs/>
          <w:noProof/>
          <w:sz w:val="24"/>
          <w:szCs w:val="24"/>
          <w:lang w:val="sr-Cyrl-CS"/>
        </w:rPr>
        <w:t>Закључак</w:t>
      </w: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:rsidR="00D278D1" w:rsidRPr="00447B5D" w:rsidRDefault="00D278D1" w:rsidP="000B21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На основу свега изнетог, закључујемо да је др Иван Нишавић својим досадашњим радом показао истраживачку зрелост и способност како за фундаментална теоријска истраживања у области филозофи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је образовања и епистемологије</w:t>
      </w:r>
      <w:r>
        <w:rPr>
          <w:rFonts w:ascii="Times New Roman" w:hAnsi="Times New Roman" w:cs="Times New Roman"/>
          <w:sz w:val="24"/>
          <w:szCs w:val="24"/>
          <w:lang w:eastAsia="sr-Latn-CS"/>
        </w:rPr>
        <w:t>,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тако и висок ниво стручности и ангажованости у историјским проучавањима х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еленистичке епохе у филозофији.</w:t>
      </w:r>
      <w:r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Вреди посебно истаћи да </w:t>
      </w:r>
      <w:r>
        <w:rPr>
          <w:rFonts w:ascii="Times New Roman" w:hAnsi="Times New Roman" w:cs="Times New Roman"/>
          <w:sz w:val="24"/>
          <w:szCs w:val="24"/>
          <w:lang w:eastAsia="sr-Latn-CS"/>
        </w:rPr>
        <w:t xml:space="preserve">je 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доктор Нишавић својим истраживањима проблема епикурејске филозофије</w:t>
      </w:r>
      <w:r w:rsidRPr="00447B5D">
        <w:rPr>
          <w:rFonts w:ascii="Times New Roman" w:eastAsia="TimesNewRomanPS-ItalicMT" w:hAnsi="Times New Roman" w:cs="Times New Roman"/>
          <w:i/>
          <w:iCs/>
          <w:sz w:val="24"/>
          <w:szCs w:val="24"/>
          <w:lang w:val="sr-Cyrl-CS" w:eastAsia="sr-Latn-CS"/>
        </w:rPr>
        <w:t xml:space="preserve"> 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отворио један нови начин приступа овим темама у нашој научној јавности</w:t>
      </w:r>
      <w:r>
        <w:rPr>
          <w:rFonts w:ascii="Times New Roman" w:hAnsi="Times New Roman" w:cs="Times New Roman"/>
          <w:sz w:val="24"/>
          <w:szCs w:val="24"/>
          <w:lang w:eastAsia="sr-Latn-CS"/>
        </w:rPr>
        <w:t>,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смештајући их у контекст савремених филозофских тема и проблема. Имајући у виду његову досадашњу научноистраживачку активност као и квантитативну и квалитативну оцену његових радова, Комисија сматра да је кандидат испунио све услове за стицање научног звања и предлаже да се др Иван Нишавић изабере у звање</w:t>
      </w: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НАУЧНИ САРАДНИК.</w:t>
      </w:r>
    </w:p>
    <w:p w:rsidR="00D278D1" w:rsidRPr="00447B5D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D278D1" w:rsidRDefault="00D278D1" w:rsidP="005B11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У Београду, 08.</w:t>
      </w:r>
      <w:r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0</w:t>
      </w:r>
      <w:r>
        <w:rPr>
          <w:rFonts w:ascii="Times New Roman" w:hAnsi="Times New Roman" w:cs="Times New Roman"/>
          <w:sz w:val="24"/>
          <w:szCs w:val="24"/>
          <w:lang w:eastAsia="sr-Latn-CS"/>
        </w:rPr>
        <w:t>7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.</w:t>
      </w:r>
      <w:r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2019.</w:t>
      </w:r>
    </w:p>
    <w:p w:rsidR="00D278D1" w:rsidRDefault="00D278D1" w:rsidP="003F26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D278D1" w:rsidRPr="00447B5D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Чланови комисије:</w:t>
      </w: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D278D1" w:rsidRPr="00447B5D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др Машан Богдановски,</w:t>
      </w: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доцент</w:t>
      </w: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sr-Latn-CS"/>
        </w:rPr>
      </w:pP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hAnsi="Times New Roman" w:cs="Times New Roman"/>
          <w:sz w:val="24"/>
          <w:szCs w:val="24"/>
          <w:lang w:val="sr-Latn-CS" w:eastAsia="sr-Latn-CS"/>
        </w:rPr>
        <w:t>др Александар Добријевић</w:t>
      </w: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>доцент</w:t>
      </w: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D278D1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D278D1" w:rsidRPr="000B2126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</w:p>
    <w:p w:rsidR="00D278D1" w:rsidRPr="00447B5D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 w:eastAsia="sr-Latn-CS"/>
        </w:rPr>
      </w:pPr>
      <w:r w:rsidRPr="00447B5D">
        <w:rPr>
          <w:rFonts w:ascii="Times New Roman" w:hAnsi="Times New Roman" w:cs="Times New Roman"/>
          <w:sz w:val="24"/>
          <w:szCs w:val="24"/>
          <w:lang w:val="sr-Cyrl-CS" w:eastAsia="sr-Latn-CS"/>
        </w:rPr>
        <w:t>др Владимир Милисављевић,</w:t>
      </w:r>
    </w:p>
    <w:p w:rsidR="00D278D1" w:rsidRPr="009C1779" w:rsidRDefault="00D278D1" w:rsidP="008D11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9C1779">
        <w:rPr>
          <w:rFonts w:ascii="Times New Roman" w:hAnsi="Times New Roman" w:cs="Times New Roman"/>
          <w:sz w:val="24"/>
          <w:szCs w:val="24"/>
          <w:lang w:val="sr-Cyrl-CS" w:eastAsia="sr-Latn-CS"/>
        </w:rPr>
        <w:t>научни саветник Института друштвених наука</w:t>
      </w:r>
    </w:p>
    <w:sectPr w:rsidR="00D278D1" w:rsidRPr="009C1779" w:rsidSect="001046A1">
      <w:pgSz w:w="11906" w:h="16838" w:code="9"/>
      <w:pgMar w:top="108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B0330"/>
    <w:multiLevelType w:val="hybridMultilevel"/>
    <w:tmpl w:val="F910705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8543D"/>
    <w:multiLevelType w:val="multilevel"/>
    <w:tmpl w:val="241A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>
    <w:nsid w:val="377B1EC0"/>
    <w:multiLevelType w:val="hybridMultilevel"/>
    <w:tmpl w:val="E23EE3E2"/>
    <w:lvl w:ilvl="0" w:tplc="2C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C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C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C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C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756D2118"/>
    <w:multiLevelType w:val="hybridMultilevel"/>
    <w:tmpl w:val="0EB827B8"/>
    <w:lvl w:ilvl="0" w:tplc="1B201D5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0B79"/>
    <w:rsid w:val="00016325"/>
    <w:rsid w:val="00043F63"/>
    <w:rsid w:val="00047778"/>
    <w:rsid w:val="000A15F5"/>
    <w:rsid w:val="000B2126"/>
    <w:rsid w:val="000B3E04"/>
    <w:rsid w:val="000C16F2"/>
    <w:rsid w:val="000E7EFB"/>
    <w:rsid w:val="001046A1"/>
    <w:rsid w:val="001537C1"/>
    <w:rsid w:val="001756A6"/>
    <w:rsid w:val="001A158A"/>
    <w:rsid w:val="00284E04"/>
    <w:rsid w:val="002C6D8E"/>
    <w:rsid w:val="003140E0"/>
    <w:rsid w:val="00321196"/>
    <w:rsid w:val="00367A86"/>
    <w:rsid w:val="003E6F6D"/>
    <w:rsid w:val="003F26DA"/>
    <w:rsid w:val="003F4679"/>
    <w:rsid w:val="00427593"/>
    <w:rsid w:val="00446F93"/>
    <w:rsid w:val="00447B5D"/>
    <w:rsid w:val="00450E6B"/>
    <w:rsid w:val="005259BD"/>
    <w:rsid w:val="00551061"/>
    <w:rsid w:val="00561057"/>
    <w:rsid w:val="005743B8"/>
    <w:rsid w:val="00591E1A"/>
    <w:rsid w:val="005B114C"/>
    <w:rsid w:val="005D6BDB"/>
    <w:rsid w:val="006254B6"/>
    <w:rsid w:val="00646CF2"/>
    <w:rsid w:val="0068116B"/>
    <w:rsid w:val="006A17EA"/>
    <w:rsid w:val="00713000"/>
    <w:rsid w:val="007507A6"/>
    <w:rsid w:val="00774254"/>
    <w:rsid w:val="00777DE1"/>
    <w:rsid w:val="007C72BD"/>
    <w:rsid w:val="008149D4"/>
    <w:rsid w:val="008961C7"/>
    <w:rsid w:val="008D11E1"/>
    <w:rsid w:val="00934BAE"/>
    <w:rsid w:val="0093729C"/>
    <w:rsid w:val="009B4982"/>
    <w:rsid w:val="009C1779"/>
    <w:rsid w:val="009F4C56"/>
    <w:rsid w:val="009F5669"/>
    <w:rsid w:val="00A6174B"/>
    <w:rsid w:val="00AA549B"/>
    <w:rsid w:val="00B41599"/>
    <w:rsid w:val="00B8464E"/>
    <w:rsid w:val="00BB74AC"/>
    <w:rsid w:val="00BC2CC6"/>
    <w:rsid w:val="00C26DF7"/>
    <w:rsid w:val="00C64FA7"/>
    <w:rsid w:val="00C66BE0"/>
    <w:rsid w:val="00C82C80"/>
    <w:rsid w:val="00C831B3"/>
    <w:rsid w:val="00CF094A"/>
    <w:rsid w:val="00D15F2A"/>
    <w:rsid w:val="00D278D1"/>
    <w:rsid w:val="00D4443E"/>
    <w:rsid w:val="00DC54D3"/>
    <w:rsid w:val="00DC5944"/>
    <w:rsid w:val="00E65D1D"/>
    <w:rsid w:val="00EB34A8"/>
    <w:rsid w:val="00EB35C7"/>
    <w:rsid w:val="00EB4D3F"/>
    <w:rsid w:val="00EE0AAB"/>
    <w:rsid w:val="00EE3305"/>
    <w:rsid w:val="00F10B79"/>
    <w:rsid w:val="00FF3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679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41599"/>
    <w:rPr>
      <w:color w:val="auto"/>
      <w:u w:val="single"/>
    </w:rPr>
  </w:style>
  <w:style w:type="paragraph" w:styleId="ListParagraph">
    <w:name w:val="List Paragraph"/>
    <w:basedOn w:val="Normal"/>
    <w:uiPriority w:val="99"/>
    <w:qFormat/>
    <w:rsid w:val="00B41599"/>
    <w:pPr>
      <w:spacing w:after="200" w:line="276" w:lineRule="auto"/>
      <w:ind w:left="720"/>
    </w:pPr>
  </w:style>
  <w:style w:type="character" w:styleId="FollowedHyperlink">
    <w:name w:val="FollowedHyperlink"/>
    <w:basedOn w:val="DefaultParagraphFont"/>
    <w:uiPriority w:val="99"/>
    <w:semiHidden/>
    <w:rsid w:val="00B41599"/>
    <w:rPr>
      <w:color w:val="auto"/>
      <w:u w:val="single"/>
    </w:rPr>
  </w:style>
  <w:style w:type="paragraph" w:customStyle="1" w:styleId="Default">
    <w:name w:val="Default"/>
    <w:uiPriority w:val="99"/>
    <w:rsid w:val="000E7EF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4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1618</Words>
  <Characters>9229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УНИВЕРЗИТЕТА У БЕОГРАДУ</dc:title>
  <dc:subject/>
  <dc:creator>Janko Nesic</dc:creator>
  <cp:keywords/>
  <dc:description/>
  <cp:lastModifiedBy>Snezana Nikolic</cp:lastModifiedBy>
  <cp:revision>2</cp:revision>
  <cp:lastPrinted>2019-07-04T10:15:00Z</cp:lastPrinted>
  <dcterms:created xsi:type="dcterms:W3CDTF">2019-07-08T12:32:00Z</dcterms:created>
  <dcterms:modified xsi:type="dcterms:W3CDTF">2019-07-08T12:32:00Z</dcterms:modified>
</cp:coreProperties>
</file>