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3EA" w:rsidRPr="005907E8" w:rsidRDefault="007373EA" w:rsidP="005907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b/>
          <w:sz w:val="24"/>
          <w:szCs w:val="24"/>
          <w:lang w:val="sr-Latn-RS"/>
        </w:rPr>
        <w:t>РЕФЕРАТ О ЗАВРШЕНОЈ ДОКТОРСКОЈ ДИСЕРТАЦИЈИ</w:t>
      </w:r>
    </w:p>
    <w:p w:rsidR="001B4B22" w:rsidRPr="005907E8" w:rsidRDefault="001B4B22" w:rsidP="005907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b/>
          <w:sz w:val="24"/>
          <w:szCs w:val="24"/>
          <w:lang w:val="sr-Latn-RS"/>
        </w:rPr>
        <w:t>„РЕЛИКВИЈАРИ У БОКИ КОТОРСКОЈ ОД 17. ДО 19. ВИЈЕКА“</w:t>
      </w:r>
    </w:p>
    <w:p w:rsidR="001B4B22" w:rsidRPr="005907E8" w:rsidRDefault="001B4B22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b/>
          <w:sz w:val="24"/>
          <w:szCs w:val="24"/>
          <w:lang w:val="sr-Latn-RS"/>
        </w:rPr>
        <w:t>МИЛЕНЕ УЛЧАР</w:t>
      </w:r>
    </w:p>
    <w:p w:rsidR="001B4B22" w:rsidRPr="005907E8" w:rsidRDefault="001B4B22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907E8" w:rsidRPr="005907E8" w:rsidRDefault="00B33752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Основни подаци о кандидату и дисертацији</w:t>
      </w:r>
      <w:r w:rsidRPr="005907E8">
        <w:rPr>
          <w:rFonts w:ascii="Times New Roman" w:hAnsi="Times New Roman" w:cs="Times New Roman"/>
          <w:b/>
          <w:sz w:val="24"/>
          <w:szCs w:val="24"/>
          <w:lang w:val="sr-Latn-RS"/>
        </w:rPr>
        <w:t>:</w:t>
      </w:r>
      <w:r w:rsidR="005907E8" w:rsidRPr="005907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>Милена Улчар рођена је у Београду 1988</w:t>
      </w:r>
      <w:r w:rsidR="001B4B22" w:rsidRPr="005907E8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5907E8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Основну школу и г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имназију </w:t>
      </w:r>
      <w:r w:rsidR="001B4B22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је 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>завршила у Котору</w:t>
      </w:r>
      <w:r w:rsidR="001B4B22" w:rsidRPr="005907E8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B4B22" w:rsidRPr="005907E8">
        <w:rPr>
          <w:rFonts w:ascii="Times New Roman" w:hAnsi="Times New Roman" w:cs="Times New Roman"/>
          <w:sz w:val="24"/>
          <w:szCs w:val="24"/>
          <w:lang w:val="sr-Latn-RS"/>
        </w:rPr>
        <w:t>О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>сновне</w:t>
      </w:r>
      <w:r w:rsidR="001B4B22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студије</w:t>
      </w:r>
      <w:r w:rsidR="00B370CE">
        <w:rPr>
          <w:rFonts w:ascii="Times New Roman" w:hAnsi="Times New Roman" w:cs="Times New Roman"/>
          <w:sz w:val="24"/>
          <w:szCs w:val="24"/>
          <w:lang w:val="sr-Cyrl-RS"/>
        </w:rPr>
        <w:t xml:space="preserve"> (уписане </w:t>
      </w:r>
      <w:r w:rsidR="001B4B22" w:rsidRPr="005907E8">
        <w:rPr>
          <w:rFonts w:ascii="Times New Roman" w:hAnsi="Times New Roman" w:cs="Times New Roman"/>
          <w:sz w:val="24"/>
          <w:szCs w:val="24"/>
          <w:lang w:val="sr-Latn-RS"/>
        </w:rPr>
        <w:t>2007</w:t>
      </w:r>
      <w:r w:rsidR="00B370C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B4B22" w:rsidRPr="005907E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мастер</w:t>
      </w:r>
      <w:r w:rsidR="001B4B22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студије</w:t>
      </w:r>
      <w:r w:rsidR="00B370CE">
        <w:rPr>
          <w:rFonts w:ascii="Times New Roman" w:hAnsi="Times New Roman" w:cs="Times New Roman"/>
          <w:sz w:val="24"/>
          <w:szCs w:val="24"/>
          <w:lang w:val="sr-Cyrl-RS"/>
        </w:rPr>
        <w:t xml:space="preserve"> (уписане </w:t>
      </w:r>
      <w:r w:rsidR="001B4B22" w:rsidRPr="005907E8">
        <w:rPr>
          <w:rFonts w:ascii="Times New Roman" w:hAnsi="Times New Roman" w:cs="Times New Roman"/>
          <w:sz w:val="24"/>
          <w:szCs w:val="24"/>
          <w:lang w:val="sr-Latn-RS"/>
        </w:rPr>
        <w:t>2011</w:t>
      </w:r>
      <w:r w:rsidR="00B370CE">
        <w:rPr>
          <w:rFonts w:ascii="Times New Roman" w:hAnsi="Times New Roman" w:cs="Times New Roman"/>
          <w:sz w:val="24"/>
          <w:szCs w:val="24"/>
          <w:lang w:val="sr-Cyrl-RS"/>
        </w:rPr>
        <w:t>) и</w:t>
      </w:r>
      <w:r w:rsidR="001B4B22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докторске студије</w:t>
      </w:r>
      <w:r w:rsidR="00B370CE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1B4B22" w:rsidRPr="005907E8">
        <w:rPr>
          <w:rFonts w:ascii="Times New Roman" w:hAnsi="Times New Roman" w:cs="Times New Roman"/>
          <w:sz w:val="24"/>
          <w:szCs w:val="24"/>
          <w:lang w:val="sr-Latn-RS"/>
        </w:rPr>
        <w:t>уписане 2012</w:t>
      </w:r>
      <w:r w:rsidR="00B370C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1B4B22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, завршила је на 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Одељењу за историју уметности Филозофског факултета у Београду, са просечним оценама: дипломске 9, 63 (дипломски 10), мастер 10,00 (завршна оцена 10) и докторске </w:t>
      </w:r>
      <w:r w:rsidR="00B370CE">
        <w:rPr>
          <w:rFonts w:ascii="Times New Roman" w:hAnsi="Times New Roman" w:cs="Times New Roman"/>
          <w:sz w:val="24"/>
          <w:szCs w:val="24"/>
          <w:lang w:val="sr-Cyrl-RS"/>
        </w:rPr>
        <w:t xml:space="preserve">студије 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>10,00. Ментор њеног дипломског</w:t>
      </w:r>
      <w:r w:rsidR="00157406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157406" w:rsidRPr="005907E8">
        <w:rPr>
          <w:rFonts w:ascii="Times New Roman" w:hAnsi="Times New Roman" w:cs="Times New Roman"/>
          <w:sz w:val="24"/>
          <w:szCs w:val="24"/>
          <w:lang w:val="sr-Latn-RS"/>
        </w:rPr>
        <w:t>„Фигура луталице у немачком романтизму“</w:t>
      </w:r>
      <w:r w:rsidR="00157406" w:rsidRPr="005907E8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и мастер рада</w:t>
      </w:r>
      <w:r w:rsidR="00157406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157406" w:rsidRPr="005907E8">
        <w:rPr>
          <w:rFonts w:ascii="Times New Roman" w:hAnsi="Times New Roman" w:cs="Times New Roman"/>
          <w:sz w:val="24"/>
          <w:szCs w:val="24"/>
          <w:lang w:val="sr-Latn-RS"/>
        </w:rPr>
        <w:t>„Однос имитације и експресије у култури и визуелној култури немачког романтизма“</w:t>
      </w:r>
      <w:r w:rsidR="00157406" w:rsidRPr="005907E8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>, као и докторске дисертације је проф. др Саша Брајовић.</w:t>
      </w:r>
    </w:p>
    <w:p w:rsidR="00B33752" w:rsidRPr="005907E8" w:rsidRDefault="00157406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Милена 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Улчар је од 2014. стипендиста Министарства </w:t>
      </w:r>
      <w:r w:rsidR="00395D75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просвете, науке и технолошког развоја 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>Републике Србије</w:t>
      </w:r>
      <w:r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и </w:t>
      </w:r>
      <w:r w:rsidR="00395D75" w:rsidRPr="005907E8">
        <w:rPr>
          <w:rFonts w:ascii="Times New Roman" w:hAnsi="Times New Roman" w:cs="Times New Roman"/>
          <w:sz w:val="24"/>
          <w:szCs w:val="24"/>
          <w:lang w:val="sr-Latn-RS"/>
        </w:rPr>
        <w:t>члан научно-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>и</w:t>
      </w:r>
      <w:r w:rsidR="00395D75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страживачког пројекта  </w:t>
      </w:r>
      <w:r w:rsidR="00395D75" w:rsidRPr="005907E8">
        <w:rPr>
          <w:rFonts w:ascii="Times New Roman" w:hAnsi="Times New Roman" w:cs="Times New Roman"/>
          <w:i/>
          <w:sz w:val="24"/>
          <w:szCs w:val="24"/>
          <w:lang w:val="sr-Latn-RS"/>
        </w:rPr>
        <w:t>Представе идентитета у уметности и вербално-визуелној култури новог доба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(бр.</w:t>
      </w:r>
      <w:r w:rsidR="00395D75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177001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395D75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чији је руководилац био проф. др Мирослав Тимотијевић, а од 2017. </w:t>
      </w:r>
      <w:r w:rsidR="001B4B22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је </w:t>
      </w:r>
      <w:r w:rsidR="00D058DD" w:rsidRPr="005907E8">
        <w:rPr>
          <w:rFonts w:ascii="Times New Roman" w:hAnsi="Times New Roman" w:cs="Times New Roman"/>
          <w:sz w:val="24"/>
          <w:szCs w:val="24"/>
          <w:lang w:val="sr-Latn-RS"/>
        </w:rPr>
        <w:t>проф. др Ненад Макуљевић.</w:t>
      </w:r>
    </w:p>
    <w:p w:rsidR="00157406" w:rsidRPr="005907E8" w:rsidRDefault="00D058DD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Године 2016. била је стипендиста фондације </w:t>
      </w:r>
      <w:r w:rsidR="00395D75" w:rsidRPr="005907E8">
        <w:rPr>
          <w:rFonts w:ascii="Times New Roman" w:hAnsi="Times New Roman" w:cs="Times New Roman"/>
          <w:i/>
          <w:sz w:val="24"/>
          <w:szCs w:val="24"/>
          <w:lang w:val="sr-Latn-RS"/>
        </w:rPr>
        <w:t>The British Scholarship Trust</w:t>
      </w:r>
      <w:r w:rsidR="00395D75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57406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која јој је обезбедила </w:t>
      </w:r>
      <w:r w:rsidR="00395D75" w:rsidRPr="005907E8">
        <w:rPr>
          <w:rFonts w:ascii="Times New Roman" w:hAnsi="Times New Roman" w:cs="Times New Roman"/>
          <w:sz w:val="24"/>
          <w:szCs w:val="24"/>
          <w:lang w:val="sr-Latn-RS"/>
        </w:rPr>
        <w:t>двомесечни</w:t>
      </w:r>
      <w:r w:rsidR="00157406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95D75" w:rsidRPr="005907E8">
        <w:rPr>
          <w:rFonts w:ascii="Times New Roman" w:hAnsi="Times New Roman" w:cs="Times New Roman"/>
          <w:sz w:val="24"/>
          <w:szCs w:val="24"/>
          <w:lang w:val="sr-Latn-RS"/>
        </w:rPr>
        <w:t>истраживачки рад на Универзитету Кембриџ, Факултет за историју</w:t>
      </w:r>
      <w:r w:rsidR="00157406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157406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на којем је добила </w:t>
      </w:r>
      <w:r w:rsidR="001B4B22" w:rsidRPr="005907E8">
        <w:rPr>
          <w:rFonts w:ascii="Times New Roman" w:hAnsi="Times New Roman" w:cs="Times New Roman"/>
          <w:sz w:val="24"/>
          <w:szCs w:val="24"/>
          <w:lang w:val="sr-Latn-RS"/>
        </w:rPr>
        <w:t>награду за најбоље искоришћен студијски боравак (Rewarding outstanding achievement).</w:t>
      </w:r>
    </w:p>
    <w:p w:rsidR="00157406" w:rsidRPr="005907E8" w:rsidRDefault="00D058DD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Године 2014. била је стипендиста </w:t>
      </w:r>
      <w:r w:rsidR="00395D75" w:rsidRPr="005907E8">
        <w:rPr>
          <w:rFonts w:ascii="Times New Roman" w:hAnsi="Times New Roman" w:cs="Times New Roman"/>
          <w:sz w:val="24"/>
          <w:szCs w:val="24"/>
          <w:lang w:val="sr-Latn-RS"/>
        </w:rPr>
        <w:t>Универзитета у Редингу (</w:t>
      </w:r>
      <w:r w:rsidR="00395D75" w:rsidRPr="005907E8">
        <w:rPr>
          <w:rFonts w:ascii="Times New Roman" w:hAnsi="Times New Roman" w:cs="Times New Roman"/>
          <w:i/>
          <w:sz w:val="24"/>
          <w:szCs w:val="24"/>
          <w:lang w:val="sr-Latn-RS"/>
        </w:rPr>
        <w:t>Early Modern Research Centre</w:t>
      </w:r>
      <w:r w:rsidR="00395D75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) уз сарадњу </w:t>
      </w:r>
      <w:r w:rsidR="00395D75" w:rsidRPr="005907E8">
        <w:rPr>
          <w:rFonts w:ascii="Times New Roman" w:hAnsi="Times New Roman" w:cs="Times New Roman"/>
          <w:i/>
          <w:sz w:val="24"/>
          <w:szCs w:val="24"/>
          <w:lang w:val="sr-Latn-RS"/>
        </w:rPr>
        <w:t>Society for Renaissance Studies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157406" w:rsidRPr="005907E8" w:rsidRDefault="00D058DD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Током основних студија била је стипендиста града Котора за најбоље студенте, као и стипендиста </w:t>
      </w:r>
      <w:r w:rsidR="00395D75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Министарства просвјете и науке Републике Црне Горе 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>за таленте.</w:t>
      </w:r>
    </w:p>
    <w:p w:rsidR="00157406" w:rsidRPr="005907E8" w:rsidRDefault="00D058DD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Учествовала је </w:t>
      </w:r>
      <w:r w:rsidR="00157406" w:rsidRPr="005907E8">
        <w:rPr>
          <w:rFonts w:ascii="Times New Roman" w:hAnsi="Times New Roman" w:cs="Times New Roman"/>
          <w:sz w:val="24"/>
          <w:szCs w:val="24"/>
          <w:lang w:val="sr-Cyrl-RS"/>
        </w:rPr>
        <w:t>више научних скупова, од којих се истичу:</w:t>
      </w:r>
    </w:p>
    <w:p w:rsidR="00157406" w:rsidRPr="005907E8" w:rsidRDefault="00157406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Конгреси Центра за Иконографске студије </w:t>
      </w:r>
      <w:r w:rsidR="001207E0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Филозофског факултета </w:t>
      </w:r>
      <w:r w:rsidRPr="005907E8">
        <w:rPr>
          <w:rFonts w:ascii="Times New Roman" w:hAnsi="Times New Roman" w:cs="Times New Roman"/>
          <w:sz w:val="24"/>
          <w:szCs w:val="24"/>
          <w:lang w:val="sr-Cyrl-RS"/>
        </w:rPr>
        <w:t>Универзитета у Ријеци 2018. и 2017.</w:t>
      </w:r>
    </w:p>
    <w:p w:rsidR="00157406" w:rsidRDefault="00157406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Конгреси </w:t>
      </w:r>
      <w:r w:rsidR="005907E8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5907E8">
        <w:rPr>
          <w:rFonts w:ascii="Times New Roman" w:hAnsi="Times New Roman" w:cs="Times New Roman"/>
          <w:sz w:val="24"/>
          <w:szCs w:val="24"/>
          <w:lang w:val="sr-Cyrl-RS"/>
        </w:rPr>
        <w:t>а студенте докторских студија на Филозофском факултету у Београду и у Сплиту 2016. и 2015.</w:t>
      </w:r>
    </w:p>
    <w:p w:rsidR="001207E0" w:rsidRPr="005907E8" w:rsidRDefault="00395D75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i/>
          <w:sz w:val="24"/>
          <w:szCs w:val="24"/>
          <w:lang w:val="sr-Latn-RS"/>
        </w:rPr>
        <w:t>Internationaler Barocksommerkurs der Stiftung Bibliothek Werner Oechslin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5907E8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Kolloquium zum Thema </w:t>
      </w:r>
      <w:r w:rsidR="005907E8">
        <w:rPr>
          <w:rFonts w:ascii="Times New Roman" w:hAnsi="Times New Roman" w:cs="Times New Roman"/>
          <w:i/>
          <w:sz w:val="24"/>
          <w:szCs w:val="24"/>
          <w:lang w:val="sr-Cyrl-RS"/>
        </w:rPr>
        <w:t>'</w:t>
      </w:r>
      <w:r w:rsidRPr="005907E8">
        <w:rPr>
          <w:rFonts w:ascii="Times New Roman" w:hAnsi="Times New Roman" w:cs="Times New Roman"/>
          <w:i/>
          <w:sz w:val="24"/>
          <w:szCs w:val="24"/>
          <w:lang w:val="sr-Latn-RS"/>
        </w:rPr>
        <w:t>Barock / Klassik</w:t>
      </w:r>
      <w:r w:rsidR="005907E8">
        <w:rPr>
          <w:rFonts w:ascii="Times New Roman" w:hAnsi="Times New Roman" w:cs="Times New Roman"/>
          <w:i/>
          <w:sz w:val="24"/>
          <w:szCs w:val="24"/>
          <w:lang w:val="sr-Cyrl-RS"/>
        </w:rPr>
        <w:t>'</w:t>
      </w:r>
      <w:r w:rsidR="001207E0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207E0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у Ајнзиделну, </w:t>
      </w:r>
      <w:r w:rsidR="005907E8">
        <w:rPr>
          <w:rFonts w:ascii="Times New Roman" w:hAnsi="Times New Roman" w:cs="Times New Roman"/>
          <w:sz w:val="24"/>
          <w:szCs w:val="24"/>
          <w:lang w:val="sr-Latn-RS"/>
        </w:rPr>
        <w:t>2015, и:</w:t>
      </w:r>
    </w:p>
    <w:p w:rsidR="00395D75" w:rsidRPr="005907E8" w:rsidRDefault="00395D75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i/>
          <w:sz w:val="24"/>
          <w:szCs w:val="24"/>
          <w:lang w:val="sr-Latn-RS"/>
        </w:rPr>
        <w:lastRenderedPageBreak/>
        <w:t>Early Modern Studies Conference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5907E8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>University of Reading,</w:t>
      </w:r>
      <w:r w:rsidR="001207E0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2014.</w:t>
      </w:r>
    </w:p>
    <w:p w:rsidR="00791CCD" w:rsidRPr="005907E8" w:rsidRDefault="00791CCD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Колегиница Улчар објавила је више запажених студија у </w:t>
      </w:r>
      <w:r w:rsidR="005907E8">
        <w:rPr>
          <w:rFonts w:ascii="Times New Roman" w:hAnsi="Times New Roman" w:cs="Times New Roman"/>
          <w:sz w:val="24"/>
          <w:szCs w:val="24"/>
          <w:lang w:val="sr-Cyrl-RS"/>
        </w:rPr>
        <w:t xml:space="preserve">високо вреднованим 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међународним и домаћим </w:t>
      </w:r>
      <w:r w:rsidR="005907E8">
        <w:rPr>
          <w:rFonts w:ascii="Times New Roman" w:hAnsi="Times New Roman" w:cs="Times New Roman"/>
          <w:sz w:val="24"/>
          <w:szCs w:val="24"/>
          <w:lang w:val="sr-Cyrl-RS"/>
        </w:rPr>
        <w:t xml:space="preserve">зборницима и 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>часописима, од којих издвајамо:</w:t>
      </w:r>
    </w:p>
    <w:p w:rsidR="001207E0" w:rsidRPr="005907E8" w:rsidRDefault="00791CCD" w:rsidP="005907E8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5907E8">
        <w:rPr>
          <w:rFonts w:ascii="Times New Roman" w:hAnsi="Times New Roman" w:cs="Times New Roman"/>
          <w:bCs/>
          <w:sz w:val="24"/>
          <w:szCs w:val="24"/>
          <w:lang w:val="sr-Latn-RS"/>
        </w:rPr>
        <w:t>Silver Covers, Iron Grids and Sensory Experience. Simultaneousness of Iconoclastic and Iconophilic Nature of Veneration in the Early Modern Bay of Kotor“, IKON Vol.11 (2018)</w:t>
      </w:r>
      <w:r w:rsidR="001207E0" w:rsidRPr="005907E8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и </w:t>
      </w:r>
      <w:r w:rsidRPr="005907E8">
        <w:rPr>
          <w:rFonts w:ascii="Times New Roman" w:hAnsi="Times New Roman" w:cs="Times New Roman"/>
          <w:bCs/>
          <w:sz w:val="24"/>
          <w:szCs w:val="24"/>
          <w:lang w:val="sr-Latn-RS"/>
        </w:rPr>
        <w:t>„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>Legends, Images and Miracles of the Virgin Mary in the Bay of Kotor in Early Modern Times“, IKON Vol. 10 (2017)</w:t>
      </w:r>
      <w:r w:rsidR="001B4B22" w:rsidRPr="005907E8">
        <w:rPr>
          <w:rFonts w:ascii="Times New Roman" w:hAnsi="Times New Roman" w:cs="Times New Roman"/>
          <w:sz w:val="24"/>
          <w:szCs w:val="24"/>
          <w:lang w:val="sr-Latn-RS"/>
        </w:rPr>
        <w:t>, оба заједно са др Брајовић.</w:t>
      </w:r>
    </w:p>
    <w:p w:rsidR="001207E0" w:rsidRPr="005907E8" w:rsidRDefault="001207E0" w:rsidP="005907E8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У </w:t>
      </w:r>
      <w:r w:rsidRPr="005907E8">
        <w:rPr>
          <w:rFonts w:ascii="Times New Roman" w:hAnsi="Times New Roman" w:cs="Times New Roman"/>
          <w:i/>
          <w:sz w:val="24"/>
          <w:szCs w:val="24"/>
          <w:lang w:val="sr-Latn-RS"/>
        </w:rPr>
        <w:t>Радовима Института за повијест умјетности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39 (2015) објавила је рад „Relikvijar Svetog Križa i proslava Uskrsa u Perastu“.</w:t>
      </w:r>
    </w:p>
    <w:p w:rsidR="001207E0" w:rsidRPr="005907E8" w:rsidRDefault="001207E0" w:rsidP="005907E8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У зборнику </w:t>
      </w:r>
      <w:r w:rsidRPr="005907E8">
        <w:rPr>
          <w:rFonts w:ascii="Times New Roman" w:hAnsi="Times New Roman" w:cs="Times New Roman"/>
          <w:i/>
          <w:sz w:val="24"/>
          <w:szCs w:val="24"/>
          <w:lang w:val="sr-Latn-RS"/>
        </w:rPr>
        <w:t>Beyond the Adriatic Sea: A Plurality of Identities and Floating Boarders in Visual Culture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>, који је уредила Саша Брајовић (2015) објавила је рад: „Sensations of the Glorious Head: Veneration of the Saint Tryphon’s Reliquary through the Liturgical Year“.</w:t>
      </w:r>
    </w:p>
    <w:p w:rsidR="00395D75" w:rsidRPr="005907E8" w:rsidRDefault="00791CCD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>Посебно истичемо њен рад у једном од најпрестижнијих стручних часописа на свету: „</w:t>
      </w:r>
      <w:r w:rsidR="00395D75" w:rsidRPr="005907E8">
        <w:rPr>
          <w:rFonts w:ascii="Times New Roman" w:hAnsi="Times New Roman" w:cs="Times New Roman"/>
          <w:sz w:val="24"/>
          <w:szCs w:val="24"/>
          <w:lang w:val="sr-Latn-RS"/>
        </w:rPr>
        <w:t>Saints in Parts: Image of the Sacred Body in an Early Modern Venetian Town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="00395D75" w:rsidRPr="005907E8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95D75" w:rsidRPr="005907E8">
        <w:rPr>
          <w:rFonts w:ascii="Times New Roman" w:hAnsi="Times New Roman" w:cs="Times New Roman"/>
          <w:i/>
          <w:sz w:val="24"/>
          <w:szCs w:val="24"/>
          <w:lang w:val="sr-Latn-RS"/>
        </w:rPr>
        <w:t>Sixteenth Century Journal XLVIII/1</w:t>
      </w:r>
      <w:r w:rsidR="00395D75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(2017)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B33752" w:rsidRPr="005907E8" w:rsidRDefault="00B33752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Дисертација „Реликвијари у Боки Которској од 17. до 19. вијека“ 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>написан</w:t>
      </w:r>
      <w:r w:rsidR="00A5053C" w:rsidRPr="005907E8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је на 200 страна – 184 стране текста и 16 на којима су наведени извори и литература, као и 100 илустрација.</w:t>
      </w:r>
    </w:p>
    <w:p w:rsidR="00CF6334" w:rsidRPr="00CF6334" w:rsidRDefault="007373EA" w:rsidP="0065702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07E8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Предмет и циљ дисертације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="00C21ADA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80631" w:rsidRPr="005907E8">
        <w:rPr>
          <w:rFonts w:ascii="Times New Roman" w:hAnsi="Times New Roman" w:cs="Times New Roman"/>
          <w:sz w:val="24"/>
          <w:szCs w:val="24"/>
          <w:lang w:val="sr-Latn-RS"/>
        </w:rPr>
        <w:t>Предмет дисертације су реликвијари настали током 17</w:t>
      </w:r>
      <w:r w:rsidR="0022730C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. и </w:t>
      </w:r>
      <w:r w:rsidR="00280631" w:rsidRPr="005907E8">
        <w:rPr>
          <w:rFonts w:ascii="Times New Roman" w:hAnsi="Times New Roman" w:cs="Times New Roman"/>
          <w:sz w:val="24"/>
          <w:szCs w:val="24"/>
          <w:lang w:val="sr-Latn-RS"/>
        </w:rPr>
        <w:t>18. века у Боки Которској, у римокатоличким црквама</w:t>
      </w:r>
      <w:r w:rsidR="0022730C" w:rsidRPr="005907E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80631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за време млетачке и аустријске управе. </w:t>
      </w:r>
      <w:r w:rsidR="005907E8">
        <w:rPr>
          <w:rFonts w:ascii="Times New Roman" w:hAnsi="Times New Roman" w:cs="Times New Roman"/>
          <w:sz w:val="24"/>
          <w:szCs w:val="24"/>
          <w:lang w:val="sr-Cyrl-RS"/>
        </w:rPr>
        <w:t>Циљ дисертације је да истакне да ови сакрални предмети нису били само изрази средњовековне, већ и нововековне</w:t>
      </w:r>
      <w:r w:rsidR="00B370CE">
        <w:rPr>
          <w:rFonts w:ascii="Times New Roman" w:hAnsi="Times New Roman" w:cs="Times New Roman"/>
          <w:sz w:val="24"/>
          <w:szCs w:val="24"/>
          <w:lang w:val="sr-Cyrl-RS"/>
        </w:rPr>
        <w:t xml:space="preserve"> побожности, те да су били </w:t>
      </w:r>
      <w:r w:rsidR="0022730C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важни облици </w:t>
      </w:r>
      <w:r w:rsidR="00B10CAF" w:rsidRPr="005907E8">
        <w:rPr>
          <w:rFonts w:ascii="Times New Roman" w:hAnsi="Times New Roman" w:cs="Times New Roman"/>
          <w:sz w:val="24"/>
          <w:szCs w:val="24"/>
          <w:lang w:val="sr-Latn-RS"/>
        </w:rPr>
        <w:t>визуелизације светости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B370CE">
        <w:rPr>
          <w:rFonts w:ascii="Times New Roman" w:hAnsi="Times New Roman" w:cs="Times New Roman"/>
          <w:sz w:val="24"/>
          <w:szCs w:val="24"/>
          <w:lang w:val="sr-Cyrl-RS"/>
        </w:rPr>
        <w:t xml:space="preserve">значајан сегмент </w:t>
      </w:r>
      <w:r w:rsidR="00C21ADA" w:rsidRPr="005907E8">
        <w:rPr>
          <w:rFonts w:ascii="Times New Roman" w:hAnsi="Times New Roman" w:cs="Times New Roman"/>
          <w:sz w:val="24"/>
          <w:szCs w:val="24"/>
          <w:lang w:val="sr-Cyrl-RS"/>
        </w:rPr>
        <w:t>културе живљења и, са њом, визуелне културе</w:t>
      </w:r>
      <w:r w:rsidR="0022730C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. То </w:t>
      </w:r>
      <w:r w:rsidR="002C550E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22730C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доказује 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анализом </w:t>
      </w:r>
      <w:r w:rsidR="0022730C" w:rsidRPr="005907E8">
        <w:rPr>
          <w:rFonts w:ascii="Times New Roman" w:hAnsi="Times New Roman" w:cs="Times New Roman"/>
          <w:sz w:val="24"/>
          <w:szCs w:val="24"/>
          <w:lang w:val="sr-Cyrl-RS"/>
        </w:rPr>
        <w:t>великог броја реликвијара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, до сада непримећених и у потпуности </w:t>
      </w:r>
      <w:r w:rsidR="00C21ADA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необрађених у науци. 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Упориште </w:t>
      </w:r>
      <w:r w:rsidR="00C21ADA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анализе 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C21ADA" w:rsidRPr="005907E8">
        <w:rPr>
          <w:rFonts w:ascii="Times New Roman" w:hAnsi="Times New Roman" w:cs="Times New Roman"/>
          <w:sz w:val="24"/>
          <w:szCs w:val="24"/>
          <w:lang w:val="sr-Cyrl-RS"/>
        </w:rPr>
        <w:t>архивск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а грађа, </w:t>
      </w:r>
      <w:r w:rsidR="00C21ADA" w:rsidRPr="005907E8">
        <w:rPr>
          <w:rFonts w:ascii="Times New Roman" w:hAnsi="Times New Roman" w:cs="Times New Roman"/>
          <w:sz w:val="24"/>
          <w:szCs w:val="24"/>
          <w:lang w:val="sr-Cyrl-RS"/>
        </w:rPr>
        <w:t>такође неистражен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а и </w:t>
      </w:r>
      <w:r w:rsidR="00C21ADA" w:rsidRPr="005907E8">
        <w:rPr>
          <w:rFonts w:ascii="Times New Roman" w:hAnsi="Times New Roman" w:cs="Times New Roman"/>
          <w:sz w:val="24"/>
          <w:szCs w:val="24"/>
          <w:lang w:val="sr-Cyrl-RS"/>
        </w:rPr>
        <w:t>необјављен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>а, као и проповеди, легенде, преписка међу свештеницима, судски процеси и други записи.</w:t>
      </w:r>
      <w:r w:rsidR="00CF63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F6334" w:rsidRPr="005907E8">
        <w:rPr>
          <w:rFonts w:ascii="Times New Roman" w:hAnsi="Times New Roman" w:cs="Times New Roman"/>
          <w:sz w:val="24"/>
          <w:szCs w:val="24"/>
          <w:lang w:val="sr-Cyrl-RS"/>
        </w:rPr>
        <w:t>У раду се напушта дуготрајно инсистирање науке на бинарним поделама („ниска-висока“ уметност, средњи-нови век)</w:t>
      </w:r>
      <w:r w:rsidR="00CF633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F6334" w:rsidRPr="005907E8">
        <w:rPr>
          <w:rFonts w:ascii="Times New Roman" w:hAnsi="Times New Roman" w:cs="Times New Roman"/>
          <w:sz w:val="24"/>
          <w:szCs w:val="24"/>
          <w:lang w:val="sr-Cyrl-RS"/>
        </w:rPr>
        <w:t>али се поштује наведени хронолошки и просторни оквир</w:t>
      </w:r>
      <w:r w:rsidR="00CF6334">
        <w:rPr>
          <w:rFonts w:ascii="Times New Roman" w:hAnsi="Times New Roman" w:cs="Times New Roman"/>
          <w:sz w:val="24"/>
          <w:szCs w:val="24"/>
          <w:lang w:val="sr-Cyrl-RS"/>
        </w:rPr>
        <w:t xml:space="preserve"> и анализирају </w:t>
      </w:r>
      <w:r w:rsidR="00CF6334" w:rsidRPr="005907E8">
        <w:rPr>
          <w:rFonts w:ascii="Times New Roman" w:hAnsi="Times New Roman" w:cs="Times New Roman"/>
          <w:sz w:val="24"/>
          <w:szCs w:val="24"/>
          <w:lang w:val="sr-Latn-RS"/>
        </w:rPr>
        <w:t>специфичне политичке, друштвене и културне прилике које су утицале на начин производње и перцепције реликвијара.</w:t>
      </w:r>
      <w:r w:rsidR="00CF63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2730C" w:rsidRPr="005907E8">
        <w:rPr>
          <w:rFonts w:ascii="Times New Roman" w:hAnsi="Times New Roman" w:cs="Times New Roman"/>
          <w:sz w:val="24"/>
          <w:szCs w:val="24"/>
          <w:lang w:val="sr-Cyrl-RS"/>
        </w:rPr>
        <w:t>Један од циљева дисертације</w:t>
      </w:r>
      <w:r w:rsidR="0011518A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, која је пионирска на овом пољу, не само </w:t>
      </w:r>
      <w:r w:rsidR="00C21ADA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у нашој, већ и у светској науци, јесте да </w:t>
      </w:r>
      <w:r w:rsidR="0022730C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докаже да </w:t>
      </w:r>
      <w:r w:rsidR="0022730C" w:rsidRPr="005907E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идеолошке, друштвене и политичке промене нису 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укинуле ове свете предмете, те да су </w:t>
      </w:r>
      <w:r w:rsidR="002C550E">
        <w:rPr>
          <w:rFonts w:ascii="Times New Roman" w:hAnsi="Times New Roman" w:cs="Times New Roman"/>
          <w:sz w:val="24"/>
          <w:szCs w:val="24"/>
          <w:lang w:val="sr-Cyrl-RS"/>
        </w:rPr>
        <w:t xml:space="preserve">измене 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>у начину производње, презентације и перцепције реликвијара биле постепене и цикличне.</w:t>
      </w:r>
      <w:r w:rsidR="0011518A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Основни циљ дисертације је да докаже да 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нововековни </w:t>
      </w:r>
      <w:r w:rsidR="0011518A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реликвијари 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у Боки Которској </w:t>
      </w:r>
      <w:r w:rsidR="0011518A" w:rsidRPr="005907E8">
        <w:rPr>
          <w:rFonts w:ascii="Times New Roman" w:hAnsi="Times New Roman" w:cs="Times New Roman"/>
          <w:sz w:val="24"/>
          <w:szCs w:val="24"/>
          <w:lang w:val="sr-Cyrl-RS"/>
        </w:rPr>
        <w:t>нису били самодовољни објекти, већ део система комуникације, те да нису били само последица свог контекста, већ његов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1518A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активни креатори.</w:t>
      </w:r>
    </w:p>
    <w:p w:rsidR="00713432" w:rsidRPr="005907E8" w:rsidRDefault="00C21ADA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07E8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Основне хипотезе од којих се полазило у истраживању</w:t>
      </w:r>
      <w:r w:rsidRPr="005907E8">
        <w:rPr>
          <w:rFonts w:ascii="Times New Roman" w:hAnsi="Times New Roman" w:cs="Times New Roman"/>
          <w:b/>
          <w:sz w:val="24"/>
          <w:szCs w:val="24"/>
          <w:lang w:val="sr-Latn-RS"/>
        </w:rPr>
        <w:t>:</w:t>
      </w:r>
      <w:r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Реликвијари, некада посматрани као област примењене уметности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 – а тиме, </w:t>
      </w:r>
      <w:r w:rsidRPr="005907E8">
        <w:rPr>
          <w:rFonts w:ascii="Times New Roman" w:hAnsi="Times New Roman" w:cs="Times New Roman"/>
          <w:sz w:val="24"/>
          <w:szCs w:val="24"/>
          <w:lang w:val="sr-Cyrl-RS"/>
        </w:rPr>
        <w:t>према начелима традиционалне историје уметности, били сврстани у ред секундарних уметничких предмета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 – у овом раду су </w:t>
      </w:r>
      <w:r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посматрани и анализирани као равноправан део </w:t>
      </w:r>
      <w:r w:rsidR="00713432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духовне и </w:t>
      </w:r>
      <w:r w:rsidRPr="005907E8">
        <w:rPr>
          <w:rFonts w:ascii="Times New Roman" w:hAnsi="Times New Roman" w:cs="Times New Roman"/>
          <w:sz w:val="24"/>
          <w:szCs w:val="24"/>
          <w:lang w:val="sr-Cyrl-RS"/>
        </w:rPr>
        <w:t>уметничке продукције.</w:t>
      </w:r>
      <w:r w:rsidR="0011518A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907E8">
        <w:rPr>
          <w:rFonts w:ascii="Times New Roman" w:hAnsi="Times New Roman" w:cs="Times New Roman"/>
          <w:sz w:val="24"/>
          <w:szCs w:val="24"/>
          <w:lang w:val="sr-Cyrl-RS"/>
        </w:rPr>
        <w:t>Доказано је да је нови век у великој мери наследио креативне обрасце средњовековног начина стварања и доживљавања ових светих предмета</w:t>
      </w:r>
      <w:r w:rsidR="000366BF">
        <w:rPr>
          <w:rFonts w:ascii="Times New Roman" w:hAnsi="Times New Roman" w:cs="Times New Roman"/>
          <w:sz w:val="24"/>
          <w:szCs w:val="24"/>
          <w:lang w:val="sr-Cyrl-RS"/>
        </w:rPr>
        <w:t xml:space="preserve">, али их </w:t>
      </w:r>
      <w:r w:rsidR="00713432" w:rsidRPr="005907E8">
        <w:rPr>
          <w:rFonts w:ascii="Times New Roman" w:hAnsi="Times New Roman" w:cs="Times New Roman"/>
          <w:sz w:val="24"/>
          <w:szCs w:val="24"/>
          <w:lang w:val="sr-Cyrl-RS"/>
        </w:rPr>
        <w:t>постепено мењао, у духу нових начела визуелизације</w:t>
      </w:r>
      <w:r w:rsidR="000366BF">
        <w:rPr>
          <w:rFonts w:ascii="Times New Roman" w:hAnsi="Times New Roman" w:cs="Times New Roman"/>
          <w:sz w:val="24"/>
          <w:szCs w:val="24"/>
          <w:lang w:val="sr-Cyrl-RS"/>
        </w:rPr>
        <w:t>, која су у раду анализирана</w:t>
      </w:r>
      <w:r w:rsidR="00713432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>Истакнуто је да се у</w:t>
      </w:r>
      <w:r w:rsidR="00713432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реликвијарима огледа укупна мисао 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и култура </w:t>
      </w:r>
      <w:r w:rsidR="00713432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барокног периода, 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али и да они нису само </w:t>
      </w:r>
      <w:r w:rsidR="00713432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њен отисак, већ </w:t>
      </w:r>
      <w:r w:rsidR="002C550E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713432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покретач. 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Основна хипотеза дисертације је да се овим предметима исказује мисао и осећајност </w:t>
      </w:r>
      <w:r w:rsidR="00713432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оновременог човека о себи – и о души и о телу, 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као и о </w:t>
      </w:r>
      <w:r w:rsidR="00713432" w:rsidRPr="005907E8">
        <w:rPr>
          <w:rFonts w:ascii="Times New Roman" w:hAnsi="Times New Roman" w:cs="Times New Roman"/>
          <w:sz w:val="24"/>
          <w:szCs w:val="24"/>
          <w:lang w:val="sr-Cyrl-RS"/>
        </w:rPr>
        <w:t>социјалној организацији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 и праксама</w:t>
      </w:r>
      <w:r w:rsidR="00713432" w:rsidRPr="005907E8">
        <w:rPr>
          <w:rFonts w:ascii="Times New Roman" w:hAnsi="Times New Roman" w:cs="Times New Roman"/>
          <w:sz w:val="24"/>
          <w:szCs w:val="24"/>
          <w:lang w:val="sr-Cyrl-RS"/>
        </w:rPr>
        <w:t>, системима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 xml:space="preserve"> деловања, </w:t>
      </w:r>
      <w:r w:rsidR="00713432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потчињавања и кажњавања.</w:t>
      </w:r>
    </w:p>
    <w:p w:rsidR="00883AC5" w:rsidRDefault="00713432" w:rsidP="00883A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07E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Кратак о</w:t>
      </w:r>
      <w:r w:rsidRPr="005907E8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пис садржаја дисертације</w:t>
      </w:r>
      <w:r w:rsidRPr="005907E8">
        <w:rPr>
          <w:rFonts w:ascii="Times New Roman" w:hAnsi="Times New Roman" w:cs="Times New Roman"/>
          <w:b/>
          <w:sz w:val="24"/>
          <w:szCs w:val="24"/>
          <w:lang w:val="sr-Latn-RS"/>
        </w:rPr>
        <w:t>:</w:t>
      </w:r>
      <w:r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У првом поглављу 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„Методологија и предмет истраживања“ </w:t>
      </w:r>
      <w:r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извршено је пажљиво и луцидно преиспитивање 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>традиционалних метода</w:t>
      </w:r>
      <w:r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и хронолошких категорија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традиционалне 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>историје уметности</w:t>
      </w:r>
      <w:r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. Указано је на неопходност </w:t>
      </w:r>
      <w:r w:rsidR="00FD2A8D" w:rsidRPr="005907E8">
        <w:rPr>
          <w:rFonts w:ascii="Times New Roman" w:hAnsi="Times New Roman" w:cs="Times New Roman"/>
          <w:sz w:val="24"/>
          <w:szCs w:val="24"/>
          <w:lang w:val="sr-Cyrl-RS"/>
        </w:rPr>
        <w:t>увођења достигнућа студија визуелне културе и интердисциплинарног промишљања.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Осим иконографије и иконологије, стилске анализе и компарација, </w:t>
      </w:r>
      <w:r w:rsidR="00FD2A8D" w:rsidRPr="005907E8">
        <w:rPr>
          <w:rFonts w:ascii="Times New Roman" w:hAnsi="Times New Roman" w:cs="Times New Roman"/>
          <w:sz w:val="24"/>
          <w:szCs w:val="24"/>
          <w:lang w:val="sr-Cyrl-RS"/>
        </w:rPr>
        <w:t>метод који се предлаже и спроводи почива на савременим антрополошким и социолошким теоријама човека и друштва. Так</w:t>
      </w:r>
      <w:r w:rsidR="0065702D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FD2A8D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им приступом омогућено је разматрање не само изгледа ових предмета, већ начина њиховог излагања, поимања, њихових функција, мобилности на олтарима и градским улицама током градских свечаности, њихова интеракција са простором и људима. Обећава се и испуњава флексибилност у одабиру артефаката – од веома комлексних и раскошних до изузетно скромних, „нелепих“ предмета, а та демократичност </w:t>
      </w:r>
      <w:r w:rsidR="00883AC5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FD2A8D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утемењена на архивској грађи у којој су пронађени подаци </w:t>
      </w:r>
      <w:r w:rsidR="00883AC5">
        <w:rPr>
          <w:rFonts w:ascii="Times New Roman" w:hAnsi="Times New Roman" w:cs="Times New Roman"/>
          <w:sz w:val="24"/>
          <w:szCs w:val="24"/>
          <w:lang w:val="sr-Cyrl-RS"/>
        </w:rPr>
        <w:t xml:space="preserve">који сведоче о односу ових сакралних предмета </w:t>
      </w:r>
      <w:r w:rsidR="002C550E">
        <w:rPr>
          <w:rFonts w:ascii="Times New Roman" w:hAnsi="Times New Roman" w:cs="Times New Roman"/>
          <w:sz w:val="24"/>
          <w:szCs w:val="24"/>
          <w:lang w:val="sr-Cyrl-RS"/>
        </w:rPr>
        <w:t xml:space="preserve">са представницима </w:t>
      </w:r>
      <w:r w:rsidR="00FD2A8D" w:rsidRPr="005907E8">
        <w:rPr>
          <w:rFonts w:ascii="Times New Roman" w:hAnsi="Times New Roman" w:cs="Times New Roman"/>
          <w:sz w:val="24"/>
          <w:szCs w:val="24"/>
          <w:lang w:val="sr-Cyrl-RS"/>
        </w:rPr>
        <w:t>најширих социјалних кругова.</w:t>
      </w:r>
      <w:r w:rsidR="00883A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Потом се у поглављу 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„Досадашња истраживања и секундарна литература“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>наводе сва претходна и</w:t>
      </w:r>
      <w:r w:rsidR="00883AC5">
        <w:rPr>
          <w:rFonts w:ascii="Times New Roman" w:hAnsi="Times New Roman" w:cs="Times New Roman"/>
          <w:sz w:val="24"/>
          <w:szCs w:val="24"/>
          <w:lang w:val="sr-Cyrl-RS"/>
        </w:rPr>
        <w:t xml:space="preserve">зучавања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>насловљене теме и истиче значај који су имала на стварање дисе</w:t>
      </w:r>
      <w:r w:rsidR="002C550E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тације. И поред овог дугог </w:t>
      </w:r>
      <w:r w:rsidR="00883AC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пописа,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јасно је да је колегиница Улчар била усамљена 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>у области коју је изабрала: реликвијари у новом веку веома ретко су били предмет научне пажње. Због тога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се ослонила на студије које су се бавиле 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различитим аспектима физичког и телесног,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односно студијама материјалне културе и перформативности, као и онима које </w:t>
      </w:r>
      <w:r w:rsidR="002C550E">
        <w:rPr>
          <w:rFonts w:ascii="Times New Roman" w:hAnsi="Times New Roman" w:cs="Times New Roman"/>
          <w:sz w:val="24"/>
          <w:szCs w:val="24"/>
          <w:lang w:val="sr-Cyrl-RS"/>
        </w:rPr>
        <w:t xml:space="preserve">преиспитују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хијерархију моћи, односа официјелног и приватног, средњег и новог века. </w:t>
      </w:r>
      <w:r w:rsidR="00883AC5">
        <w:rPr>
          <w:rFonts w:ascii="Times New Roman" w:hAnsi="Times New Roman" w:cs="Times New Roman"/>
          <w:sz w:val="24"/>
          <w:szCs w:val="24"/>
          <w:lang w:val="sr-Cyrl-RS"/>
        </w:rPr>
        <w:t xml:space="preserve">Ауторка се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опредељује за тзв. 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>„спирални“ приступ прошлости, који не почива на бинарним поделама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>, већ инсистира на концепту трајања, као и за концепт „парадокса“, инструмента којим се тумаче често веома опречни, али, истовремено</w:t>
      </w:r>
      <w:r w:rsidR="00883AC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и комплементарни начини израде, излагања и </w:t>
      </w:r>
      <w:r w:rsidR="002C550E">
        <w:rPr>
          <w:rFonts w:ascii="Times New Roman" w:hAnsi="Times New Roman" w:cs="Times New Roman"/>
          <w:sz w:val="24"/>
          <w:szCs w:val="24"/>
          <w:lang w:val="sr-Cyrl-RS"/>
        </w:rPr>
        <w:t xml:space="preserve">доживљаја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>реликвијара.</w:t>
      </w:r>
    </w:p>
    <w:p w:rsidR="000366BF" w:rsidRDefault="002C550E" w:rsidP="00883A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следећим поглављима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извршена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подела на 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>тзв. „антропоморфне“ и „неатропоморфне“ реликвијаре. Прву групу чине предмети који наликују на људско тело, а другу они у облику сандука, остензорија, медаљона</w:t>
      </w:r>
      <w:r w:rsidR="00883AC5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Пошто се начини њиховог чувања, презентације и функције разликују, ова подела је оправдана.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На почетку оба велика поглавља –„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>Антропоморфни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>релквијари“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и „Неантропоморфни реликвијари</w:t>
      </w:r>
      <w:r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–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преиспитују се 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>традицоналн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е тезе историје умености које тврде да су 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>Тридентски концил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реформа Католичке цркве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и тзв. секулраизација 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>у потпуности променил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однос према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реликвијама и предметима који их чувају,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те се у наставку доказује да није тако. Антропоморфни реликвијари се посматрају као „живе слике“,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доказ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>животности материје</w:t>
      </w:r>
      <w:r w:rsidR="00883AC5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и анализирају два лица њихове промене: једно је промена облика, а друго промена </w:t>
      </w:r>
      <w:r w:rsidR="00883AC5">
        <w:rPr>
          <w:rFonts w:ascii="Times New Roman" w:hAnsi="Times New Roman" w:cs="Times New Roman"/>
          <w:sz w:val="24"/>
          <w:szCs w:val="24"/>
          <w:lang w:val="sr-Cyrl-RS"/>
        </w:rPr>
        <w:t xml:space="preserve">њиховог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садржаја и перцепције. У поглављу 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>„Неантро</w:t>
      </w:r>
      <w:r w:rsidR="00883AC5">
        <w:rPr>
          <w:rFonts w:ascii="Times New Roman" w:hAnsi="Times New Roman" w:cs="Times New Roman"/>
          <w:sz w:val="24"/>
          <w:szCs w:val="24"/>
          <w:lang w:val="sr-Cyrl-RS"/>
        </w:rPr>
        <w:t xml:space="preserve">поморфни 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>реликвијари“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>, посвећеном артефактима који немају облик људског тела, ауторка објаш</w:t>
      </w:r>
      <w:r w:rsidR="00883AC5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ава зашто једну велику групу </w:t>
      </w:r>
      <w:r w:rsidR="00883AC5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предмета одређује негативно, према ономе што нису.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>Закљу</w:t>
      </w:r>
      <w:r w:rsidR="00883AC5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ује да ови предмети, разнородни по свом облику и материјалу, не могу бити класификовани према морфологији, већ према визуелној поруци коју су преносили посматрачу. Зато их анализира као соматске покретаче, </w:t>
      </w:r>
      <w:r w:rsidR="00883AC5">
        <w:rPr>
          <w:rFonts w:ascii="Times New Roman" w:hAnsi="Times New Roman" w:cs="Times New Roman"/>
          <w:sz w:val="24"/>
          <w:szCs w:val="24"/>
          <w:lang w:val="sr-Cyrl-RS"/>
        </w:rPr>
        <w:t xml:space="preserve">који и када немају фигуративне приказе, носе снажну визуелну поруку. Предмети из ове групе често су деловали као композити, били употребљавани у магијске сврхе, изношени током градских свечаности, те се </w:t>
      </w:r>
      <w:r w:rsidR="0022370A">
        <w:rPr>
          <w:rFonts w:ascii="Times New Roman" w:hAnsi="Times New Roman" w:cs="Times New Roman"/>
          <w:sz w:val="24"/>
          <w:szCs w:val="24"/>
          <w:lang w:val="sr-Cyrl-RS"/>
        </w:rPr>
        <w:t xml:space="preserve">зато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анализира интеракција посматрача и ових предмета. </w:t>
      </w:r>
      <w:r w:rsidR="0022370A">
        <w:rPr>
          <w:rFonts w:ascii="Times New Roman" w:hAnsi="Times New Roman" w:cs="Times New Roman"/>
          <w:sz w:val="24"/>
          <w:szCs w:val="24"/>
          <w:lang w:val="sr-Cyrl-RS"/>
        </w:rPr>
        <w:t xml:space="preserve">Сва потпоглавља утемељена су на архивској грађи.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Нарочито се истиче потпоглавље </w:t>
      </w:r>
      <w:r w:rsidR="00883AC5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„Капела реликвија у Катедрали Светог Трипуна у Котору“, </w:t>
      </w:r>
      <w:r w:rsidR="00883AC5" w:rsidRPr="005907E8">
        <w:rPr>
          <w:rFonts w:ascii="Times New Roman" w:hAnsi="Times New Roman" w:cs="Times New Roman"/>
          <w:sz w:val="24"/>
          <w:szCs w:val="24"/>
          <w:lang w:val="sr-Cyrl-RS"/>
        </w:rPr>
        <w:t>у којем се анализира ова раскошна целина и механизми њен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ог доживљаја. </w:t>
      </w:r>
      <w:r w:rsidR="0022370A" w:rsidRPr="005907E8">
        <w:rPr>
          <w:rFonts w:ascii="Times New Roman" w:hAnsi="Times New Roman" w:cs="Times New Roman"/>
          <w:sz w:val="24"/>
          <w:szCs w:val="24"/>
          <w:lang w:val="sr-Cyrl-RS"/>
        </w:rPr>
        <w:t>Перформативност реликвијара</w:t>
      </w:r>
      <w:r w:rsidR="0022370A">
        <w:rPr>
          <w:rFonts w:ascii="Times New Roman" w:hAnsi="Times New Roman" w:cs="Times New Roman"/>
          <w:sz w:val="24"/>
          <w:szCs w:val="24"/>
          <w:lang w:val="sr-Cyrl-RS"/>
        </w:rPr>
        <w:t xml:space="preserve"> испитана је кроз </w:t>
      </w:r>
      <w:r w:rsidR="0022370A" w:rsidRPr="005907E8">
        <w:rPr>
          <w:rFonts w:ascii="Times New Roman" w:hAnsi="Times New Roman" w:cs="Times New Roman"/>
          <w:sz w:val="24"/>
          <w:szCs w:val="24"/>
          <w:lang w:val="sr-Cyrl-RS"/>
        </w:rPr>
        <w:t>методолошке оквире историје чула и њихове хијерархије у раном модерном добу. Уоч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ава се </w:t>
      </w:r>
      <w:r w:rsidR="0022370A">
        <w:rPr>
          <w:rFonts w:ascii="Times New Roman" w:hAnsi="Times New Roman" w:cs="Times New Roman"/>
          <w:sz w:val="24"/>
          <w:szCs w:val="24"/>
          <w:lang w:val="sr-Cyrl-RS"/>
        </w:rPr>
        <w:t xml:space="preserve">да се </w:t>
      </w:r>
      <w:r w:rsidR="0022370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предност дата виду искушавала, парадоксално, путем његовог спречавања, односно заустављања погледа. Али, </w:t>
      </w:r>
      <w:r w:rsidR="0022370A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овај рестриктивни механизам заправо је веома ефектно утицао на перцепцију реликвијара, јер се помоћ </w:t>
      </w:r>
      <w:r w:rsidR="0022370A">
        <w:rPr>
          <w:rFonts w:ascii="Times New Roman" w:hAnsi="Times New Roman" w:cs="Times New Roman"/>
          <w:sz w:val="24"/>
          <w:szCs w:val="24"/>
          <w:lang w:val="sr-Cyrl-RS"/>
        </w:rPr>
        <w:t xml:space="preserve">добијала ангажовањем мултисензорног искуства, као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њиховим изношењем </w:t>
      </w:r>
      <w:r w:rsidR="000366BF">
        <w:rPr>
          <w:rFonts w:ascii="Times New Roman" w:hAnsi="Times New Roman" w:cs="Times New Roman"/>
          <w:sz w:val="24"/>
          <w:szCs w:val="24"/>
          <w:lang w:val="sr-Cyrl-RS"/>
        </w:rPr>
        <w:t>током литургијске године, што је утицало на креирање менталних слика, као и соматских реакција у телу посматрача.</w:t>
      </w:r>
    </w:p>
    <w:p w:rsidR="009A5E7E" w:rsidRDefault="000366BF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„Закључку“, који није само резиме написаног, већ посебна целина која доноси и нове погледе на изучени материјал, истицане су сродности које постоје у наведеним, претходно одељеним, групама. Реликвијари су тумачени као </w:t>
      </w:r>
      <w:r w:rsidR="00165E9F" w:rsidRPr="005907E8">
        <w:rPr>
          <w:rFonts w:ascii="Times New Roman" w:hAnsi="Times New Roman" w:cs="Times New Roman"/>
          <w:sz w:val="24"/>
          <w:szCs w:val="24"/>
          <w:lang w:val="sr-Cyrl-RS"/>
        </w:rPr>
        <w:t>креативни покретач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65E9F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менталних, емоционалних, корпоралних </w:t>
      </w:r>
      <w:r w:rsidR="002C550E">
        <w:rPr>
          <w:rFonts w:ascii="Times New Roman" w:hAnsi="Times New Roman" w:cs="Times New Roman"/>
          <w:sz w:val="24"/>
          <w:szCs w:val="24"/>
          <w:lang w:val="sr-Cyrl-RS"/>
        </w:rPr>
        <w:t xml:space="preserve">и корпоративних садржаја, </w:t>
      </w:r>
      <w:r w:rsidR="00165E9F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1323F3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као </w:t>
      </w:r>
      <w:r w:rsidR="00165E9F" w:rsidRPr="005907E8">
        <w:rPr>
          <w:rFonts w:ascii="Times New Roman" w:hAnsi="Times New Roman" w:cs="Times New Roman"/>
          <w:sz w:val="24"/>
          <w:szCs w:val="24"/>
          <w:lang w:val="sr-Cyrl-RS"/>
        </w:rPr>
        <w:t>одговори на многа питања о човеку и друштву т</w:t>
      </w:r>
      <w:r w:rsidR="001323F3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ога </w:t>
      </w:r>
      <w:r w:rsidR="00165E9F" w:rsidRPr="005907E8">
        <w:rPr>
          <w:rFonts w:ascii="Times New Roman" w:hAnsi="Times New Roman" w:cs="Times New Roman"/>
          <w:sz w:val="24"/>
          <w:szCs w:val="24"/>
          <w:lang w:val="sr-Cyrl-RS"/>
        </w:rPr>
        <w:t>доба</w:t>
      </w:r>
      <w:r w:rsidR="001323F3" w:rsidRPr="005907E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A5E7E" w:rsidRDefault="001D62E2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907E8"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  <w:t>Остварени резултати и научни допринос дисертације</w:t>
      </w:r>
      <w:r w:rsidRPr="005907E8">
        <w:rPr>
          <w:rFonts w:ascii="Times New Roman" w:hAnsi="Times New Roman" w:cs="Times New Roman"/>
          <w:b/>
          <w:sz w:val="24"/>
          <w:szCs w:val="24"/>
          <w:lang w:val="sr-Latn-RS"/>
        </w:rPr>
        <w:t>:</w:t>
      </w:r>
      <w:r w:rsidRPr="005907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B10CAF" w:rsidRPr="005907E8">
        <w:rPr>
          <w:rFonts w:ascii="Times New Roman" w:hAnsi="Times New Roman" w:cs="Times New Roman"/>
          <w:sz w:val="24"/>
          <w:szCs w:val="24"/>
          <w:lang w:val="sr-Latn-RS"/>
        </w:rPr>
        <w:t>Након темељног и</w:t>
      </w:r>
      <w:r w:rsidR="008F5B62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зучавања у потпуности непроучених и углавном необрађених артефаката и </w:t>
      </w:r>
      <w:r w:rsidR="00B10CAF" w:rsidRPr="005907E8">
        <w:rPr>
          <w:rFonts w:ascii="Times New Roman" w:hAnsi="Times New Roman" w:cs="Times New Roman"/>
          <w:sz w:val="24"/>
          <w:szCs w:val="24"/>
          <w:lang w:val="sr-Latn-RS"/>
        </w:rPr>
        <w:t>архивске грађе,</w:t>
      </w:r>
      <w:r w:rsidR="008F5B62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колегиница Улчар је написала тезу која даје свеобхватну анализу реликвијара створених у Боки Которској у периоду од 17. до 19. века, а са њом и широку слику укупних друштвених односа. Иако </w:t>
      </w:r>
      <w:r w:rsidR="00CF6334">
        <w:rPr>
          <w:rFonts w:ascii="Times New Roman" w:hAnsi="Times New Roman" w:cs="Times New Roman"/>
          <w:sz w:val="24"/>
          <w:szCs w:val="24"/>
          <w:lang w:val="sr-Cyrl-RS"/>
        </w:rPr>
        <w:t xml:space="preserve">реликвијаре </w:t>
      </w:r>
      <w:r w:rsidR="008F5B62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пажљиво описује и смешта у </w:t>
      </w:r>
      <w:r w:rsidR="00CF6334">
        <w:rPr>
          <w:rFonts w:ascii="Times New Roman" w:hAnsi="Times New Roman" w:cs="Times New Roman"/>
          <w:sz w:val="24"/>
          <w:szCs w:val="24"/>
          <w:lang w:val="sr-Cyrl-RS"/>
        </w:rPr>
        <w:t xml:space="preserve">конкретно време и простор одређене цркве или капеле, и </w:t>
      </w:r>
      <w:r w:rsidR="008F5B62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проналази </w:t>
      </w:r>
      <w:r w:rsidR="00CF6334">
        <w:rPr>
          <w:rFonts w:ascii="Times New Roman" w:hAnsi="Times New Roman" w:cs="Times New Roman"/>
          <w:sz w:val="24"/>
          <w:szCs w:val="24"/>
          <w:lang w:val="sr-Cyrl-RS"/>
        </w:rPr>
        <w:t xml:space="preserve">податке о њима </w:t>
      </w:r>
      <w:r w:rsidR="008F5B62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у архивској грађи, дисертација није </w:t>
      </w:r>
      <w:r w:rsidR="00CF6334">
        <w:rPr>
          <w:rFonts w:ascii="Times New Roman" w:hAnsi="Times New Roman" w:cs="Times New Roman"/>
          <w:sz w:val="24"/>
          <w:szCs w:val="24"/>
          <w:lang w:val="sr-Cyrl-RS"/>
        </w:rPr>
        <w:t>инвентар ових предмета. Она је пажљива и дубока анализа објеката посматраних као да су живи организми, који тиме постају и субјекти оновремене стварности. Дисертација је доказала да нововековни реликвијари имају снажан визуелни потенцијал погодан за истраживање историјских промена, као и укупне културе.</w:t>
      </w:r>
    </w:p>
    <w:p w:rsidR="00165E9F" w:rsidRDefault="009A5E7E" w:rsidP="009A5E7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5E7E">
        <w:rPr>
          <w:rFonts w:ascii="Times New Roman" w:hAnsi="Times New Roman" w:cs="Times New Roman"/>
          <w:b/>
          <w:sz w:val="24"/>
          <w:szCs w:val="24"/>
          <w:lang w:val="sr-Cyrl-RS"/>
        </w:rPr>
        <w:t>Закључак: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Овом дисертацијом </w:t>
      </w:r>
      <w:r w:rsidR="00C17B36">
        <w:rPr>
          <w:rFonts w:ascii="Times New Roman" w:hAnsi="Times New Roman" w:cs="Times New Roman"/>
          <w:sz w:val="24"/>
          <w:szCs w:val="24"/>
          <w:lang w:val="sr-Cyrl-RS"/>
        </w:rPr>
        <w:t xml:space="preserve">је заокружен озбиљни вишегодишњи теренски и архивски рад, храброст ауторке да уђе у непознато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суверено се служи савременим методама историје уметности, али и да им допринесе, а поврђена је и подршка таквом </w:t>
      </w:r>
      <w:r w:rsidR="00C17B36">
        <w:rPr>
          <w:rFonts w:ascii="Times New Roman" w:hAnsi="Times New Roman" w:cs="Times New Roman"/>
          <w:sz w:val="24"/>
          <w:szCs w:val="24"/>
          <w:lang w:val="sr-Cyrl-RS"/>
        </w:rPr>
        <w:t>промишљању од стране њених професора и колега са Одељења за историју уметности и Центра за визуелну културу Балкана Филозофског факултета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Београду</w:t>
      </w:r>
      <w:r w:rsidR="00C17B36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17B3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C17B36">
        <w:rPr>
          <w:rFonts w:ascii="Times New Roman" w:hAnsi="Times New Roman" w:cs="Times New Roman"/>
          <w:sz w:val="24"/>
          <w:szCs w:val="24"/>
          <w:lang w:val="sr-Cyrl-RS"/>
        </w:rPr>
        <w:t xml:space="preserve">Колегиница Улчар је научно утемељено, разборито, дисциплиновано и самостално обликовала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своју тезу. Дисертација је </w:t>
      </w:r>
      <w:r w:rsidR="00C17B36">
        <w:rPr>
          <w:rFonts w:ascii="Times New Roman" w:hAnsi="Times New Roman" w:cs="Times New Roman"/>
          <w:sz w:val="24"/>
          <w:szCs w:val="24"/>
          <w:lang w:val="sr-Cyrl-RS"/>
        </w:rPr>
        <w:t>написан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17B36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свиме што је обећано у одобреној пријави. </w:t>
      </w:r>
      <w:r w:rsidR="005907E8" w:rsidRPr="005907E8">
        <w:rPr>
          <w:rFonts w:ascii="Times New Roman" w:hAnsi="Times New Roman" w:cs="Times New Roman"/>
          <w:sz w:val="24"/>
          <w:szCs w:val="24"/>
          <w:lang w:val="sr-Latn-RS"/>
        </w:rPr>
        <w:t>Резултате ове тезе сматрамо</w:t>
      </w:r>
      <w:r w:rsidR="005907E8" w:rsidRPr="005907E8">
        <w:rPr>
          <w:rFonts w:ascii="Times New Roman" w:hAnsi="Times New Roman" w:cs="Times New Roman"/>
          <w:sz w:val="24"/>
          <w:szCs w:val="24"/>
          <w:lang w:val="sr-Cyrl-RS"/>
        </w:rPr>
        <w:t xml:space="preserve"> у потпуности</w:t>
      </w:r>
      <w:r w:rsidR="005907E8"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оригиналним и самосталним научним делом, значајним за нашу науку. </w:t>
      </w:r>
      <w:r w:rsidR="005907E8" w:rsidRPr="005907E8">
        <w:rPr>
          <w:rFonts w:ascii="Times New Roman" w:hAnsi="Times New Roman" w:cs="Times New Roman"/>
          <w:sz w:val="24"/>
          <w:szCs w:val="24"/>
          <w:lang w:val="sr-Cyrl-RS"/>
        </w:rPr>
        <w:t>Зато сматрамо да су се стекли сви услови за њену јавну одбрану.</w:t>
      </w:r>
    </w:p>
    <w:p w:rsidR="00C17B36" w:rsidRDefault="00C17B36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17B36" w:rsidRPr="005907E8" w:rsidRDefault="00C17B36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Београду, 1. октобра 2018.</w:t>
      </w:r>
    </w:p>
    <w:p w:rsidR="00A5053C" w:rsidRPr="005907E8" w:rsidRDefault="00A5053C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A5053C" w:rsidRPr="005907E8" w:rsidRDefault="00A5053C" w:rsidP="00C17B36">
      <w:pPr>
        <w:pStyle w:val="Vlada1c"/>
        <w:spacing w:line="360" w:lineRule="auto"/>
        <w:ind w:left="4320" w:firstLine="720"/>
        <w:jc w:val="both"/>
        <w:rPr>
          <w:rFonts w:ascii="Times New Roman" w:hAnsi="Times New Roman"/>
          <w:sz w:val="24"/>
          <w:szCs w:val="24"/>
          <w:lang w:val="sr-Latn-RS"/>
        </w:rPr>
      </w:pPr>
      <w:r w:rsidRPr="005907E8">
        <w:rPr>
          <w:rFonts w:ascii="Times New Roman" w:hAnsi="Times New Roman"/>
          <w:sz w:val="24"/>
          <w:szCs w:val="24"/>
          <w:u w:val="single"/>
          <w:lang w:val="sr-Latn-RS"/>
        </w:rPr>
        <w:t>Потписи чланова комисије</w:t>
      </w:r>
      <w:r w:rsidRPr="005907E8">
        <w:rPr>
          <w:rFonts w:ascii="Times New Roman" w:hAnsi="Times New Roman"/>
          <w:sz w:val="24"/>
          <w:szCs w:val="24"/>
          <w:lang w:val="sr-Latn-RS"/>
        </w:rPr>
        <w:t>:</w:t>
      </w:r>
    </w:p>
    <w:p w:rsidR="00A5053C" w:rsidRPr="005907E8" w:rsidRDefault="00A5053C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ab/>
      </w:r>
    </w:p>
    <w:p w:rsidR="00A5053C" w:rsidRPr="005907E8" w:rsidRDefault="00A5053C" w:rsidP="00C17B36">
      <w:pPr>
        <w:spacing w:after="0" w:line="36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>др Ненад Макуљевић,</w:t>
      </w:r>
    </w:p>
    <w:p w:rsidR="00A5053C" w:rsidRDefault="00A5053C" w:rsidP="00C17B3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>редовни професор на Одељењу за историју уметности Филозофског факултета у Београду</w:t>
      </w:r>
    </w:p>
    <w:p w:rsidR="00C17B36" w:rsidRDefault="00C17B36" w:rsidP="00C17B3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C17B36" w:rsidRDefault="00C17B36" w:rsidP="00C17B3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>др Љиљана Стошић,</w:t>
      </w:r>
    </w:p>
    <w:p w:rsidR="00C17B36" w:rsidRPr="005907E8" w:rsidRDefault="00C17B36" w:rsidP="00C17B3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 xml:space="preserve">научни саветник Балканолошког института </w:t>
      </w:r>
      <w:r>
        <w:rPr>
          <w:rFonts w:ascii="Times New Roman" w:hAnsi="Times New Roman" w:cs="Times New Roman"/>
          <w:sz w:val="24"/>
          <w:szCs w:val="24"/>
          <w:lang w:val="sr-Cyrl-RS"/>
        </w:rPr>
        <w:t>Српске академије наука и уметности</w:t>
      </w:r>
    </w:p>
    <w:p w:rsidR="00C17B36" w:rsidRPr="005907E8" w:rsidRDefault="00C17B36" w:rsidP="00C17B3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C17B36" w:rsidRDefault="00A5053C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="00C17B36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="00C17B36">
        <w:rPr>
          <w:rFonts w:ascii="Times New Roman" w:hAnsi="Times New Roman" w:cs="Times New Roman"/>
          <w:sz w:val="24"/>
          <w:szCs w:val="24"/>
          <w:lang w:val="sr-Latn-RS"/>
        </w:rPr>
        <w:tab/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>др Јелена Ердељан,</w:t>
      </w:r>
    </w:p>
    <w:p w:rsidR="00A5053C" w:rsidRPr="005907E8" w:rsidRDefault="00A5053C" w:rsidP="00C17B3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>ванредни професор на Одељењу за историју уметности</w:t>
      </w:r>
      <w:r w:rsidR="00C17B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907E8">
        <w:rPr>
          <w:rFonts w:ascii="Times New Roman" w:hAnsi="Times New Roman" w:cs="Times New Roman"/>
          <w:sz w:val="24"/>
          <w:szCs w:val="24"/>
          <w:lang w:val="sr-Latn-RS"/>
        </w:rPr>
        <w:t>Филозофског факултета у Београду</w:t>
      </w:r>
    </w:p>
    <w:p w:rsidR="00A5053C" w:rsidRPr="005907E8" w:rsidRDefault="00A5053C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5053C" w:rsidRPr="005907E8" w:rsidRDefault="00A5053C" w:rsidP="00C17B36">
      <w:pPr>
        <w:spacing w:after="0" w:line="360" w:lineRule="auto"/>
        <w:ind w:left="4320"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>др Саша Брајовић,</w:t>
      </w:r>
    </w:p>
    <w:p w:rsidR="00A5053C" w:rsidRPr="005907E8" w:rsidRDefault="00A5053C" w:rsidP="00C17B36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907E8">
        <w:rPr>
          <w:rFonts w:ascii="Times New Roman" w:hAnsi="Times New Roman" w:cs="Times New Roman"/>
          <w:sz w:val="24"/>
          <w:szCs w:val="24"/>
          <w:lang w:val="sr-Latn-RS"/>
        </w:rPr>
        <w:t>редовни професор на Одељењу за историју уметности Филозофског факултета у Београду</w:t>
      </w:r>
    </w:p>
    <w:p w:rsidR="00A43E42" w:rsidRPr="005907E8" w:rsidRDefault="00A43E42" w:rsidP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907E8" w:rsidRPr="005907E8" w:rsidRDefault="005907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5907E8" w:rsidRPr="005907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768" w:rsidRDefault="00F50768" w:rsidP="00395D75">
      <w:pPr>
        <w:spacing w:after="0" w:line="240" w:lineRule="auto"/>
      </w:pPr>
      <w:r>
        <w:separator/>
      </w:r>
    </w:p>
  </w:endnote>
  <w:endnote w:type="continuationSeparator" w:id="0">
    <w:p w:rsidR="00F50768" w:rsidRDefault="00F50768" w:rsidP="00395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768" w:rsidRDefault="00F50768" w:rsidP="00395D75">
      <w:pPr>
        <w:spacing w:after="0" w:line="240" w:lineRule="auto"/>
      </w:pPr>
      <w:r>
        <w:separator/>
      </w:r>
    </w:p>
  </w:footnote>
  <w:footnote w:type="continuationSeparator" w:id="0">
    <w:p w:rsidR="00F50768" w:rsidRDefault="00F50768" w:rsidP="00395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2439393"/>
      <w:docPartObj>
        <w:docPartGallery w:val="Page Numbers (Top of Page)"/>
        <w:docPartUnique/>
      </w:docPartObj>
    </w:sdtPr>
    <w:sdtEndPr>
      <w:rPr>
        <w:noProof/>
      </w:rPr>
    </w:sdtEndPr>
    <w:sdtContent>
      <w:p w:rsidR="00165E9F" w:rsidRDefault="00165E9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5E7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65E9F" w:rsidRDefault="00165E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D75"/>
    <w:rsid w:val="00016FC8"/>
    <w:rsid w:val="00035F99"/>
    <w:rsid w:val="000366BF"/>
    <w:rsid w:val="00053FD9"/>
    <w:rsid w:val="00062EF6"/>
    <w:rsid w:val="00080CB1"/>
    <w:rsid w:val="00092E51"/>
    <w:rsid w:val="000A6617"/>
    <w:rsid w:val="000B7106"/>
    <w:rsid w:val="000D44C7"/>
    <w:rsid w:val="000D6651"/>
    <w:rsid w:val="000E0C62"/>
    <w:rsid w:val="000E4FB4"/>
    <w:rsid w:val="0011518A"/>
    <w:rsid w:val="001207E0"/>
    <w:rsid w:val="001235D6"/>
    <w:rsid w:val="001323F3"/>
    <w:rsid w:val="001505BD"/>
    <w:rsid w:val="00157406"/>
    <w:rsid w:val="00165E9F"/>
    <w:rsid w:val="00185D00"/>
    <w:rsid w:val="001930AF"/>
    <w:rsid w:val="001B4B22"/>
    <w:rsid w:val="001D1EFE"/>
    <w:rsid w:val="001D22C5"/>
    <w:rsid w:val="001D458C"/>
    <w:rsid w:val="001D62E2"/>
    <w:rsid w:val="0022370A"/>
    <w:rsid w:val="0022730C"/>
    <w:rsid w:val="002765EC"/>
    <w:rsid w:val="00280631"/>
    <w:rsid w:val="002C250E"/>
    <w:rsid w:val="002C550E"/>
    <w:rsid w:val="002D1E9E"/>
    <w:rsid w:val="002E7315"/>
    <w:rsid w:val="00316F11"/>
    <w:rsid w:val="003853E1"/>
    <w:rsid w:val="00395D75"/>
    <w:rsid w:val="003A2558"/>
    <w:rsid w:val="003D5751"/>
    <w:rsid w:val="003E4EE6"/>
    <w:rsid w:val="00404E9B"/>
    <w:rsid w:val="0040756B"/>
    <w:rsid w:val="00433075"/>
    <w:rsid w:val="0044794E"/>
    <w:rsid w:val="00461E74"/>
    <w:rsid w:val="00483C2D"/>
    <w:rsid w:val="004B2843"/>
    <w:rsid w:val="004D417A"/>
    <w:rsid w:val="004F1140"/>
    <w:rsid w:val="0051661A"/>
    <w:rsid w:val="00567DED"/>
    <w:rsid w:val="005907E8"/>
    <w:rsid w:val="00592225"/>
    <w:rsid w:val="005B117F"/>
    <w:rsid w:val="005B6D50"/>
    <w:rsid w:val="005D794B"/>
    <w:rsid w:val="00603AF2"/>
    <w:rsid w:val="00615B19"/>
    <w:rsid w:val="006278E9"/>
    <w:rsid w:val="00634E94"/>
    <w:rsid w:val="006424FF"/>
    <w:rsid w:val="0065702D"/>
    <w:rsid w:val="00676B90"/>
    <w:rsid w:val="0071147E"/>
    <w:rsid w:val="00713432"/>
    <w:rsid w:val="00723C20"/>
    <w:rsid w:val="007366BD"/>
    <w:rsid w:val="007373EA"/>
    <w:rsid w:val="00791CCD"/>
    <w:rsid w:val="007B3588"/>
    <w:rsid w:val="007E2A6D"/>
    <w:rsid w:val="00817986"/>
    <w:rsid w:val="00841172"/>
    <w:rsid w:val="00864BF6"/>
    <w:rsid w:val="00883AC5"/>
    <w:rsid w:val="008B5669"/>
    <w:rsid w:val="008D721E"/>
    <w:rsid w:val="008F5B62"/>
    <w:rsid w:val="00940D77"/>
    <w:rsid w:val="00983209"/>
    <w:rsid w:val="009A5E7E"/>
    <w:rsid w:val="009C7FC8"/>
    <w:rsid w:val="009D734B"/>
    <w:rsid w:val="00A2735C"/>
    <w:rsid w:val="00A368D0"/>
    <w:rsid w:val="00A43E42"/>
    <w:rsid w:val="00A5053C"/>
    <w:rsid w:val="00A5490C"/>
    <w:rsid w:val="00AD6B0C"/>
    <w:rsid w:val="00B10CAF"/>
    <w:rsid w:val="00B21B10"/>
    <w:rsid w:val="00B33752"/>
    <w:rsid w:val="00B370CE"/>
    <w:rsid w:val="00B4274B"/>
    <w:rsid w:val="00BA3C69"/>
    <w:rsid w:val="00BB2FB7"/>
    <w:rsid w:val="00BB623C"/>
    <w:rsid w:val="00C11E3E"/>
    <w:rsid w:val="00C17B36"/>
    <w:rsid w:val="00C21ADA"/>
    <w:rsid w:val="00C2629A"/>
    <w:rsid w:val="00C30050"/>
    <w:rsid w:val="00C47C0F"/>
    <w:rsid w:val="00C53FB4"/>
    <w:rsid w:val="00C7677B"/>
    <w:rsid w:val="00C90184"/>
    <w:rsid w:val="00C93499"/>
    <w:rsid w:val="00CC6155"/>
    <w:rsid w:val="00CE1495"/>
    <w:rsid w:val="00CF6334"/>
    <w:rsid w:val="00D058DD"/>
    <w:rsid w:val="00D46D02"/>
    <w:rsid w:val="00D565E4"/>
    <w:rsid w:val="00D83CEE"/>
    <w:rsid w:val="00DB5ED1"/>
    <w:rsid w:val="00E07D98"/>
    <w:rsid w:val="00E404CC"/>
    <w:rsid w:val="00EF5CDB"/>
    <w:rsid w:val="00F11956"/>
    <w:rsid w:val="00F50768"/>
    <w:rsid w:val="00F64689"/>
    <w:rsid w:val="00F65BE8"/>
    <w:rsid w:val="00FB4B97"/>
    <w:rsid w:val="00FC3624"/>
    <w:rsid w:val="00FD2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B6F2A8-8721-40BF-B984-870A35391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D7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395D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95D75"/>
    <w:rPr>
      <w:rFonts w:asciiTheme="minorHAnsi" w:eastAsiaTheme="minorEastAsia" w:hAnsiTheme="minorHAnsi" w:cstheme="minorBid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5D75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395D75"/>
    <w:rPr>
      <w:i/>
      <w:iCs/>
    </w:rPr>
  </w:style>
  <w:style w:type="paragraph" w:styleId="ListParagraph">
    <w:name w:val="List Paragraph"/>
    <w:basedOn w:val="Normal"/>
    <w:uiPriority w:val="34"/>
    <w:qFormat/>
    <w:rsid w:val="00B33752"/>
    <w:pPr>
      <w:spacing w:after="0" w:line="240" w:lineRule="auto"/>
      <w:ind w:left="720"/>
      <w:contextualSpacing/>
    </w:pPr>
    <w:rPr>
      <w:rFonts w:ascii="YuCiril Times" w:eastAsia="Times New Roman" w:hAnsi="YuCiril Times" w:cs="Times New Roman"/>
      <w:sz w:val="28"/>
      <w:szCs w:val="20"/>
      <w:lang w:val="sr-Cyrl-RS"/>
    </w:rPr>
  </w:style>
  <w:style w:type="paragraph" w:customStyle="1" w:styleId="Vlada1c">
    <w:name w:val="Vlada1c"/>
    <w:rsid w:val="00A5053C"/>
    <w:pPr>
      <w:spacing w:line="240" w:lineRule="auto"/>
      <w:jc w:val="center"/>
    </w:pPr>
    <w:rPr>
      <w:rFonts w:ascii="YuCiril Times" w:eastAsia="Times New Roman" w:hAnsi="YuCiril Times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65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E9F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65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E9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16EE0-30E5-43B9-80DD-2756B367F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6</Pages>
  <Words>1832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</Company>
  <LinksUpToDate>false</LinksUpToDate>
  <CharactersWithSpaces>12257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Brajović</dc:creator>
  <cp:keywords/>
  <dc:description/>
  <cp:lastModifiedBy>Saša Brajović</cp:lastModifiedBy>
  <cp:revision>4</cp:revision>
  <dcterms:created xsi:type="dcterms:W3CDTF">2018-09-27T22:08:00Z</dcterms:created>
  <dcterms:modified xsi:type="dcterms:W3CDTF">2018-09-30T15:58:00Z</dcterms:modified>
</cp:coreProperties>
</file>