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EB9" w:rsidRPr="00D817AA" w:rsidRDefault="00A22EB9" w:rsidP="009C6C1E">
      <w:pPr>
        <w:rPr>
          <w:b/>
          <w:bCs/>
          <w:lang w:val="ru-RU"/>
        </w:rPr>
      </w:pPr>
      <w:r w:rsidRPr="00A4001C">
        <w:rPr>
          <w:b/>
          <w:bCs/>
          <w:lang w:val="sv-SE"/>
        </w:rPr>
        <w:t>НАСТАВНО</w:t>
      </w:r>
      <w:r>
        <w:rPr>
          <w:b/>
          <w:bCs/>
        </w:rPr>
        <w:t xml:space="preserve"> </w:t>
      </w:r>
      <w:r w:rsidRPr="00D817AA">
        <w:rPr>
          <w:b/>
          <w:bCs/>
          <w:lang w:val="ru-RU"/>
        </w:rPr>
        <w:t>-</w:t>
      </w:r>
      <w:r>
        <w:rPr>
          <w:b/>
          <w:bCs/>
          <w:lang w:val="ru-RU"/>
        </w:rPr>
        <w:t xml:space="preserve"> </w:t>
      </w:r>
      <w:r w:rsidRPr="00A4001C">
        <w:rPr>
          <w:b/>
          <w:bCs/>
          <w:lang w:val="sv-SE"/>
        </w:rPr>
        <w:t>НАУЧНОМ</w:t>
      </w:r>
      <w:r w:rsidRPr="00D817AA">
        <w:rPr>
          <w:b/>
          <w:bCs/>
          <w:lang w:val="ru-RU"/>
        </w:rPr>
        <w:t xml:space="preserve"> </w:t>
      </w:r>
      <w:r w:rsidRPr="00A4001C">
        <w:rPr>
          <w:b/>
          <w:bCs/>
          <w:lang w:val="sv-SE"/>
        </w:rPr>
        <w:t>ВЕЋУ</w:t>
      </w:r>
      <w:r w:rsidRPr="00D817AA">
        <w:rPr>
          <w:b/>
          <w:bCs/>
          <w:lang w:val="ru-RU"/>
        </w:rPr>
        <w:t xml:space="preserve"> </w:t>
      </w:r>
    </w:p>
    <w:p w:rsidR="00A22EB9" w:rsidRPr="00D817AA" w:rsidRDefault="00A22EB9" w:rsidP="009C6C1E">
      <w:pPr>
        <w:rPr>
          <w:b/>
          <w:bCs/>
          <w:lang w:val="ru-RU"/>
        </w:rPr>
      </w:pPr>
      <w:r w:rsidRPr="00A4001C">
        <w:rPr>
          <w:b/>
          <w:bCs/>
          <w:lang w:val="sv-SE"/>
        </w:rPr>
        <w:t>ФИЛОЗОФСКОГ</w:t>
      </w:r>
      <w:r w:rsidRPr="00D817AA">
        <w:rPr>
          <w:b/>
          <w:bCs/>
          <w:lang w:val="ru-RU"/>
        </w:rPr>
        <w:t xml:space="preserve"> </w:t>
      </w:r>
      <w:r w:rsidRPr="00A4001C">
        <w:rPr>
          <w:b/>
          <w:bCs/>
          <w:lang w:val="sv-SE"/>
        </w:rPr>
        <w:t>ФАКУЛТЕТА</w:t>
      </w:r>
      <w:r w:rsidRPr="00D817AA">
        <w:rPr>
          <w:b/>
          <w:bCs/>
          <w:lang w:val="ru-RU"/>
        </w:rPr>
        <w:t xml:space="preserve"> </w:t>
      </w:r>
    </w:p>
    <w:p w:rsidR="00A22EB9" w:rsidRDefault="00A22EB9" w:rsidP="009C6C1E">
      <w:pPr>
        <w:rPr>
          <w:b/>
          <w:bCs/>
          <w:lang w:val="sr-Cyrl-CS"/>
        </w:rPr>
      </w:pPr>
      <w:r w:rsidRPr="00A4001C">
        <w:rPr>
          <w:b/>
          <w:bCs/>
          <w:lang w:val="sv-SE"/>
        </w:rPr>
        <w:t>БЕОГРАД</w:t>
      </w:r>
    </w:p>
    <w:p w:rsidR="00A22EB9" w:rsidRPr="00C060F6" w:rsidRDefault="00A22EB9" w:rsidP="009C6C1E">
      <w:pPr>
        <w:rPr>
          <w:b/>
          <w:bCs/>
          <w:lang w:val="sr-Cyrl-CS"/>
        </w:rPr>
      </w:pPr>
    </w:p>
    <w:p w:rsidR="00A22EB9" w:rsidRPr="00D817AA" w:rsidRDefault="00A22EB9" w:rsidP="009C6C1E">
      <w:pPr>
        <w:jc w:val="center"/>
        <w:rPr>
          <w:b/>
          <w:bCs/>
          <w:lang w:val="ru-RU"/>
        </w:rPr>
      </w:pPr>
    </w:p>
    <w:p w:rsidR="00A22EB9" w:rsidRPr="00D817AA" w:rsidRDefault="00A22EB9" w:rsidP="009C6C1E">
      <w:pPr>
        <w:jc w:val="center"/>
        <w:rPr>
          <w:b/>
          <w:bCs/>
          <w:lang w:val="ru-RU"/>
        </w:rPr>
      </w:pPr>
    </w:p>
    <w:p w:rsidR="00A22EB9" w:rsidRDefault="00A22EB9" w:rsidP="009C6C1E">
      <w:pPr>
        <w:jc w:val="center"/>
        <w:rPr>
          <w:b/>
          <w:bCs/>
          <w:lang w:val="sr-Cyrl-CS"/>
        </w:rPr>
      </w:pPr>
      <w:r>
        <w:rPr>
          <w:b/>
          <w:bCs/>
          <w:lang w:val="sr-Cyrl-CS"/>
        </w:rPr>
        <w:t xml:space="preserve">ИЗВЕШТАЈ КОМИСИЈЕ ЗА ИЗБОР др НЕБОЈШЕ СТАНКОВИЋА </w:t>
      </w:r>
    </w:p>
    <w:p w:rsidR="00A22EB9" w:rsidRDefault="00A22EB9" w:rsidP="009C6C1E">
      <w:pPr>
        <w:jc w:val="center"/>
        <w:rPr>
          <w:b/>
          <w:bCs/>
          <w:lang w:val="sr-Cyrl-CS"/>
        </w:rPr>
      </w:pPr>
      <w:r>
        <w:rPr>
          <w:b/>
          <w:bCs/>
          <w:lang w:val="sr-Cyrl-CS"/>
        </w:rPr>
        <w:t>У ЗВАЊЕ НАУЧНИ САРАДНИК</w:t>
      </w:r>
    </w:p>
    <w:p w:rsidR="00A22EB9" w:rsidRDefault="00A22EB9" w:rsidP="009C6C1E">
      <w:pPr>
        <w:rPr>
          <w:lang w:val="sr-Cyrl-CS"/>
        </w:rPr>
      </w:pPr>
    </w:p>
    <w:p w:rsidR="00A22EB9" w:rsidRDefault="00A22EB9" w:rsidP="009C6C1E">
      <w:pPr>
        <w:rPr>
          <w:lang w:val="sr-Cyrl-CS"/>
        </w:rPr>
      </w:pPr>
    </w:p>
    <w:p w:rsidR="00A22EB9" w:rsidRPr="00770C73" w:rsidRDefault="00A22EB9" w:rsidP="009C6C1E">
      <w:pPr>
        <w:ind w:firstLine="720"/>
        <w:jc w:val="both"/>
        <w:rPr>
          <w:lang w:val="sr-Cyrl-CS"/>
        </w:rPr>
      </w:pPr>
      <w:r>
        <w:rPr>
          <w:lang w:val="sr-Cyrl-CS"/>
        </w:rPr>
        <w:t xml:space="preserve">Наставно - научно веће Филозофског факултета донело је, на седници одржаној </w:t>
      </w:r>
      <w:r w:rsidRPr="00434D9F">
        <w:rPr>
          <w:lang w:val="sr-Cyrl-CS"/>
        </w:rPr>
        <w:t>2</w:t>
      </w:r>
      <w:r>
        <w:rPr>
          <w:lang w:val="sr-Cyrl-CS"/>
        </w:rPr>
        <w:t>7</w:t>
      </w:r>
      <w:r w:rsidRPr="00434D9F">
        <w:rPr>
          <w:lang w:val="sr-Cyrl-CS"/>
        </w:rPr>
        <w:t xml:space="preserve">. </w:t>
      </w:r>
      <w:r>
        <w:rPr>
          <w:lang w:val="sr-Cyrl-CS"/>
        </w:rPr>
        <w:t>септ</w:t>
      </w:r>
      <w:r w:rsidRPr="00434D9F">
        <w:rPr>
          <w:lang w:val="sr-Cyrl-CS"/>
        </w:rPr>
        <w:t>ембра 20</w:t>
      </w:r>
      <w:r w:rsidRPr="00434D9F">
        <w:rPr>
          <w:lang w:val="sr-Latn-CS"/>
        </w:rPr>
        <w:t>1</w:t>
      </w:r>
      <w:r>
        <w:t>8</w:t>
      </w:r>
      <w:r w:rsidRPr="00C26682">
        <w:rPr>
          <w:lang w:val="sr-Cyrl-CS"/>
        </w:rPr>
        <w:t>.</w:t>
      </w:r>
      <w:r>
        <w:rPr>
          <w:lang w:val="sr-Cyrl-CS"/>
        </w:rPr>
        <w:t xml:space="preserve"> године, одлуку да се покрене поступак за избор </w:t>
      </w:r>
      <w:r w:rsidRPr="00D60259">
        <w:rPr>
          <w:b/>
          <w:bCs/>
          <w:lang w:val="sr-Cyrl-CS"/>
        </w:rPr>
        <w:t>д</w:t>
      </w:r>
      <w:r>
        <w:rPr>
          <w:b/>
          <w:bCs/>
          <w:lang w:val="sr-Cyrl-CS"/>
        </w:rPr>
        <w:t xml:space="preserve">р Небојше Станковића </w:t>
      </w:r>
      <w:r w:rsidRPr="00D60259">
        <w:rPr>
          <w:b/>
          <w:bCs/>
          <w:lang w:val="sr-Cyrl-CS"/>
        </w:rPr>
        <w:t xml:space="preserve">у звање </w:t>
      </w:r>
      <w:r w:rsidRPr="00D60259">
        <w:rPr>
          <w:b/>
          <w:bCs/>
          <w:u w:val="single"/>
          <w:lang w:val="sr-Cyrl-CS"/>
        </w:rPr>
        <w:t>научни сарадник</w:t>
      </w:r>
      <w:r>
        <w:rPr>
          <w:lang w:val="sr-Cyrl-CS"/>
        </w:rPr>
        <w:t xml:space="preserve">. Наставно-научно веће </w:t>
      </w:r>
      <w:r>
        <w:t>je</w:t>
      </w:r>
      <w:r w:rsidRPr="00A61FD0">
        <w:rPr>
          <w:lang w:val="sr-Cyrl-CS"/>
        </w:rPr>
        <w:t xml:space="preserve"> </w:t>
      </w:r>
      <w:r>
        <w:rPr>
          <w:lang w:val="sr-Cyrl-CS"/>
        </w:rPr>
        <w:t xml:space="preserve">на истој седници формирало комисију за припрему извештаја о кандидату. Комисија је Извештај сачинила према критеријумима изложеним у </w:t>
      </w:r>
      <w:r>
        <w:rPr>
          <w:i/>
          <w:iCs/>
          <w:lang w:val="sr-Cyrl-CS"/>
        </w:rPr>
        <w:t>Правилнику о поступку и начину вредновања и квантитативном исказивању научно-истраживачких резултата истраживача</w:t>
      </w:r>
      <w:r>
        <w:rPr>
          <w:lang w:val="sr-Cyrl-CS"/>
        </w:rPr>
        <w:t xml:space="preserve">, објављеном у Службеном гласнику РС </w:t>
      </w:r>
      <w:r w:rsidRPr="00770C73">
        <w:rPr>
          <w:lang w:val="sr-Cyrl-CS"/>
        </w:rPr>
        <w:t xml:space="preserve">(број </w:t>
      </w:r>
      <w:r w:rsidRPr="00D30B36">
        <w:rPr>
          <w:lang w:val="sr-Cyrl-CS"/>
        </w:rPr>
        <w:t xml:space="preserve">24/2016, 21/2017 </w:t>
      </w:r>
      <w:r>
        <w:rPr>
          <w:lang w:val="sr-Cyrl-CS"/>
        </w:rPr>
        <w:t>и</w:t>
      </w:r>
      <w:r w:rsidRPr="00D30B36">
        <w:rPr>
          <w:lang w:val="sr-Cyrl-CS"/>
        </w:rPr>
        <w:t xml:space="preserve"> 38/2017</w:t>
      </w:r>
      <w:r w:rsidRPr="00770C73">
        <w:rPr>
          <w:lang w:val="sr-Cyrl-CS"/>
        </w:rPr>
        <w:t>)</w:t>
      </w:r>
      <w:r>
        <w:rPr>
          <w:lang w:val="sr-Cyrl-CS"/>
        </w:rPr>
        <w:t xml:space="preserve">. </w:t>
      </w:r>
    </w:p>
    <w:p w:rsidR="00A22EB9" w:rsidRDefault="00A22EB9" w:rsidP="009C6C1E">
      <w:pPr>
        <w:jc w:val="both"/>
        <w:rPr>
          <w:lang w:val="sr-Cyrl-CS"/>
        </w:rPr>
      </w:pPr>
      <w:r>
        <w:rPr>
          <w:lang w:val="sr-Cyrl-CS"/>
        </w:rPr>
        <w:tab/>
        <w:t xml:space="preserve">Комисија је прегледала конкурсну документацију, анализирала професионалну делатност кандидата, као и његове научне и стручне радове. На основу тога, комисија подноси следећи извештај, као и предлог који из те анализе следи. </w:t>
      </w:r>
    </w:p>
    <w:p w:rsidR="00A22EB9" w:rsidRPr="006A1937" w:rsidRDefault="00A22EB9" w:rsidP="00587530">
      <w:pPr>
        <w:pStyle w:val="Heading2"/>
        <w:spacing w:before="360" w:line="240" w:lineRule="auto"/>
        <w:rPr>
          <w:b/>
          <w:bCs/>
          <w:u w:val="none"/>
          <w:lang w:val="sr-Cyrl-CS"/>
        </w:rPr>
      </w:pPr>
      <w:r w:rsidRPr="006A1937">
        <w:rPr>
          <w:b/>
          <w:bCs/>
          <w:sz w:val="28"/>
          <w:szCs w:val="28"/>
          <w:u w:val="none"/>
          <w:lang w:val="sr-Cyrl-CS"/>
        </w:rPr>
        <w:t xml:space="preserve">1. </w:t>
      </w:r>
      <w:r w:rsidRPr="007D5FEC">
        <w:rPr>
          <w:b/>
          <w:bCs/>
          <w:sz w:val="28"/>
          <w:szCs w:val="28"/>
          <w:u w:val="none"/>
          <w:lang w:val="sr-Cyrl-CS"/>
        </w:rPr>
        <w:t xml:space="preserve">Радна </w:t>
      </w:r>
      <w:r w:rsidRPr="007D5FEC">
        <w:rPr>
          <w:b/>
          <w:bCs/>
          <w:sz w:val="28"/>
          <w:szCs w:val="28"/>
          <w:u w:val="none"/>
        </w:rPr>
        <w:t>биограф</w:t>
      </w:r>
      <w:r w:rsidRPr="007D5FEC">
        <w:rPr>
          <w:b/>
          <w:bCs/>
          <w:sz w:val="28"/>
          <w:szCs w:val="28"/>
          <w:u w:val="none"/>
          <w:lang w:val="sr-Cyrl-CS"/>
        </w:rPr>
        <w:t>ија кандидата</w:t>
      </w:r>
    </w:p>
    <w:p w:rsidR="00A22EB9" w:rsidRDefault="00A22EB9" w:rsidP="009C6C1E">
      <w:pPr>
        <w:rPr>
          <w:lang w:val="sr-Cyrl-CS"/>
        </w:rPr>
      </w:pPr>
    </w:p>
    <w:p w:rsidR="00A22EB9" w:rsidRDefault="00A22EB9" w:rsidP="009C6C1E">
      <w:pPr>
        <w:ind w:firstLine="720"/>
        <w:jc w:val="both"/>
      </w:pPr>
      <w:r w:rsidRPr="00486FE1">
        <w:rPr>
          <w:lang w:val="sr-Cyrl-CS"/>
        </w:rPr>
        <w:t xml:space="preserve">Др </w:t>
      </w:r>
      <w:r>
        <w:rPr>
          <w:lang w:val="sr-Cyrl-CS"/>
        </w:rPr>
        <w:t>Небојша Станковић</w:t>
      </w:r>
      <w:r w:rsidRPr="00486FE1">
        <w:rPr>
          <w:lang w:val="sr-Cyrl-CS"/>
        </w:rPr>
        <w:t xml:space="preserve"> рођен је 19</w:t>
      </w:r>
      <w:r>
        <w:rPr>
          <w:lang w:val="sr-Cyrl-CS"/>
        </w:rPr>
        <w:t>73</w:t>
      </w:r>
      <w:r w:rsidRPr="00486FE1">
        <w:rPr>
          <w:lang w:val="sr-Cyrl-CS"/>
        </w:rPr>
        <w:t xml:space="preserve">. године у </w:t>
      </w:r>
      <w:r>
        <w:rPr>
          <w:lang w:val="sr-Cyrl-CS"/>
        </w:rPr>
        <w:t>Ниш</w:t>
      </w:r>
      <w:r w:rsidRPr="00486FE1">
        <w:rPr>
          <w:lang w:val="sr-Cyrl-CS"/>
        </w:rPr>
        <w:t xml:space="preserve">у. </w:t>
      </w:r>
      <w:r>
        <w:rPr>
          <w:lang w:val="sr-Cyrl-CS"/>
        </w:rPr>
        <w:t xml:space="preserve">Основну и средњу школу завршио је у родном граду, а дипломирао је 2000. године на Архитектонском факултету Универзитета у Београду и тако постао дипломирани инжињер архитектуре. Диплому </w:t>
      </w:r>
      <w:r w:rsidRPr="00CC4A45">
        <w:rPr>
          <w:i/>
          <w:iCs/>
        </w:rPr>
        <w:t>Master of Art [мастер-магистар]</w:t>
      </w:r>
      <w:r w:rsidRPr="004135D7">
        <w:t xml:space="preserve"> </w:t>
      </w:r>
      <w:r>
        <w:t>из области историје уметности и археологије</w:t>
      </w:r>
      <w:r w:rsidRPr="004135D7">
        <w:t xml:space="preserve"> (</w:t>
      </w:r>
      <w:r>
        <w:t>средњовековна уметност, архитектура и археологија</w:t>
      </w:r>
      <w:r w:rsidRPr="004135D7">
        <w:t>)</w:t>
      </w:r>
      <w:r>
        <w:t xml:space="preserve"> стекао је 2007. године на </w:t>
      </w:r>
      <w:r w:rsidRPr="00CC4A45">
        <w:t>Одсек</w:t>
      </w:r>
      <w:r>
        <w:t>у</w:t>
      </w:r>
      <w:r w:rsidRPr="00CC4A45">
        <w:t xml:space="preserve"> за историју уметности и археологију Универзитет</w:t>
      </w:r>
      <w:r>
        <w:t>а</w:t>
      </w:r>
      <w:r w:rsidRPr="00CC4A45">
        <w:t xml:space="preserve"> Принстон</w:t>
      </w:r>
      <w:r>
        <w:t xml:space="preserve"> (САД). На истом универзитету одбранио је 2017. године докторску дисертацију, стекавши диплому доктора наука у оквиру студијског програма </w:t>
      </w:r>
      <w:r>
        <w:rPr>
          <w:i/>
          <w:iCs/>
        </w:rPr>
        <w:t>Лепе уметности и археологија</w:t>
      </w:r>
      <w:r>
        <w:t xml:space="preserve">, која му је призната од стране Министарства просвете, науке и технолошког развоја Републике Србије као диплома докторских академских студија трећег степена високог образовања (180 ЕСПБ), у оквиру научно-образовног поља: Друштевено-хуманистичке науке, научна област: Историјске, археолошке и класичне науке. Научно и стручно додатно се усавршавао у оквиру мноштва курсева, семинара и летњих школа које је похађао на домаћим и страним универзитетима и институтима, као и током многобројних студијских путовања. </w:t>
      </w:r>
    </w:p>
    <w:p w:rsidR="00A22EB9" w:rsidRPr="00104177" w:rsidRDefault="00A22EB9" w:rsidP="00C148D6">
      <w:pPr>
        <w:ind w:firstLine="720"/>
        <w:jc w:val="both"/>
      </w:pPr>
      <w:r w:rsidRPr="007E580F">
        <w:t>Између 2002. и 2004. године био је запослен у</w:t>
      </w:r>
      <w:r>
        <w:t xml:space="preserve"> </w:t>
      </w:r>
      <w:r w:rsidRPr="007E580F">
        <w:t>Заводу за заштиту споменика културе Ниш</w:t>
      </w:r>
      <w:r w:rsidRPr="007E580F">
        <w:rPr>
          <w:b/>
          <w:bCs/>
        </w:rPr>
        <w:t xml:space="preserve"> </w:t>
      </w:r>
      <w:r>
        <w:t>као</w:t>
      </w:r>
      <w:r w:rsidRPr="007E580F">
        <w:t xml:space="preserve"> </w:t>
      </w:r>
      <w:r>
        <w:t>архитекта-конзерватор, стручни сарадник</w:t>
      </w:r>
      <w:r w:rsidRPr="007E580F">
        <w:t xml:space="preserve"> </w:t>
      </w:r>
      <w:r>
        <w:t xml:space="preserve">задужен за археолошке локалитете, а у исто време је радио и на </w:t>
      </w:r>
      <w:r w:rsidRPr="007E580F">
        <w:t xml:space="preserve">Грађевинско-архитектонском факултету Универзитета у Нишу као хонорарни сарадник у настави </w:t>
      </w:r>
      <w:r>
        <w:t xml:space="preserve">на предметима „Пројектовање стамбених зграда“ и „Пројектовање јавних зграда“. У пролећном семестру 2007. и 2010. године био је асистент-истраживач, а у пролећном семестру 2009. и јесњем семестру 2010. асистент у настави (предавач-демонстратор) на </w:t>
      </w:r>
      <w:r w:rsidRPr="00E02E88">
        <w:t>Универзитет</w:t>
      </w:r>
      <w:r>
        <w:t>у</w:t>
      </w:r>
      <w:r w:rsidRPr="00E02E88">
        <w:t xml:space="preserve"> Принстон </w:t>
      </w:r>
      <w:r>
        <w:t>(</w:t>
      </w:r>
      <w:r w:rsidRPr="00E02E88">
        <w:t>Одсек за историју уметности и археологију</w:t>
      </w:r>
      <w:r>
        <w:t xml:space="preserve">). Марта 2016. године обављао је посао координатора теренског семинара за постдипломце на северноамеричком Универзитету Јејл (Институт за сакралну музику). </w:t>
      </w:r>
      <w:r w:rsidRPr="00104177">
        <w:t>Сада је без сталног запослења.</w:t>
      </w:r>
    </w:p>
    <w:p w:rsidR="00A22EB9" w:rsidRPr="007D5FEC" w:rsidRDefault="00A22EB9" w:rsidP="00E82100">
      <w:pPr>
        <w:pStyle w:val="BodyTextIndent"/>
        <w:spacing w:before="360" w:after="0" w:line="240" w:lineRule="auto"/>
        <w:ind w:firstLine="0"/>
        <w:rPr>
          <w:b/>
          <w:bCs/>
          <w:sz w:val="28"/>
          <w:szCs w:val="28"/>
        </w:rPr>
      </w:pPr>
      <w:r>
        <w:rPr>
          <w:b/>
          <w:bCs/>
          <w:sz w:val="22"/>
          <w:szCs w:val="22"/>
          <w:lang w:val="ru-RU"/>
        </w:rPr>
        <w:t xml:space="preserve">          </w:t>
      </w:r>
      <w:r w:rsidRPr="006A1937">
        <w:rPr>
          <w:b/>
          <w:bCs/>
          <w:sz w:val="28"/>
          <w:szCs w:val="28"/>
          <w:lang w:val="ru-RU"/>
        </w:rPr>
        <w:t xml:space="preserve"> 2. </w:t>
      </w:r>
      <w:r w:rsidRPr="007D5FEC">
        <w:rPr>
          <w:b/>
          <w:bCs/>
          <w:sz w:val="28"/>
          <w:szCs w:val="28"/>
          <w:lang w:val="ru-RU"/>
        </w:rPr>
        <w:t>Комплетна библиографија кандидата са потпуним рефе</w:t>
      </w:r>
      <w:r w:rsidRPr="007D5FEC">
        <w:rPr>
          <w:b/>
          <w:bCs/>
          <w:sz w:val="28"/>
          <w:szCs w:val="28"/>
        </w:rPr>
        <w:t xml:space="preserve">ренцама </w:t>
      </w:r>
    </w:p>
    <w:p w:rsidR="00A22EB9" w:rsidRPr="007D5FEC" w:rsidRDefault="00A22EB9" w:rsidP="00E82100">
      <w:pPr>
        <w:pStyle w:val="BodyTextIndent"/>
        <w:spacing w:after="0" w:line="240" w:lineRule="auto"/>
        <w:rPr>
          <w:b/>
          <w:bCs/>
          <w:sz w:val="28"/>
          <w:szCs w:val="28"/>
        </w:rPr>
      </w:pPr>
      <w:r w:rsidRPr="007D5FEC">
        <w:rPr>
          <w:b/>
          <w:bCs/>
          <w:sz w:val="28"/>
          <w:szCs w:val="28"/>
        </w:rPr>
        <w:t xml:space="preserve">               разврстаним према категоријама научног рада</w:t>
      </w:r>
    </w:p>
    <w:p w:rsidR="00A22EB9" w:rsidRDefault="00A22EB9" w:rsidP="00C13F78">
      <w:pPr>
        <w:pStyle w:val="BodyTextIndent"/>
        <w:spacing w:after="0"/>
        <w:ind w:firstLine="0"/>
        <w:rPr>
          <w:b/>
          <w:bCs/>
          <w:sz w:val="22"/>
          <w:szCs w:val="22"/>
        </w:rPr>
      </w:pPr>
    </w:p>
    <w:p w:rsidR="00A22EB9" w:rsidRPr="004F6E06" w:rsidRDefault="00A22EB9" w:rsidP="00C13F78">
      <w:pPr>
        <w:rPr>
          <w:b/>
          <w:bCs/>
          <w:i/>
          <w:iCs/>
          <w:lang w:val="sr-Latn-CS"/>
        </w:rPr>
      </w:pPr>
      <w:r w:rsidRPr="00C13F78">
        <w:rPr>
          <w:b/>
          <w:bCs/>
          <w:i/>
          <w:iCs/>
          <w:lang w:val="ru-RU"/>
        </w:rPr>
        <w:t>Поглавље</w:t>
      </w:r>
      <w:r w:rsidRPr="0011463A">
        <w:rPr>
          <w:b/>
          <w:bCs/>
          <w:i/>
          <w:iCs/>
          <w:lang w:val="sr-Latn-CS"/>
        </w:rPr>
        <w:t xml:space="preserve"> </w:t>
      </w:r>
      <w:r w:rsidRPr="00C13F78">
        <w:rPr>
          <w:b/>
          <w:bCs/>
          <w:i/>
          <w:iCs/>
          <w:lang w:val="ru-RU"/>
        </w:rPr>
        <w:t>у</w:t>
      </w:r>
      <w:r w:rsidRPr="0011463A">
        <w:rPr>
          <w:b/>
          <w:bCs/>
          <w:i/>
          <w:iCs/>
          <w:lang w:val="sr-Latn-CS"/>
        </w:rPr>
        <w:t xml:space="preserve"> </w:t>
      </w:r>
      <w:r w:rsidRPr="00C13F78">
        <w:rPr>
          <w:b/>
          <w:bCs/>
          <w:i/>
          <w:iCs/>
          <w:lang w:val="ru-RU"/>
        </w:rPr>
        <w:t>тематском</w:t>
      </w:r>
      <w:r w:rsidRPr="0011463A">
        <w:rPr>
          <w:b/>
          <w:bCs/>
          <w:i/>
          <w:iCs/>
          <w:lang w:val="sr-Latn-CS"/>
        </w:rPr>
        <w:t xml:space="preserve"> </w:t>
      </w:r>
      <w:r w:rsidRPr="00C13F78">
        <w:rPr>
          <w:b/>
          <w:bCs/>
          <w:i/>
          <w:iCs/>
          <w:lang w:val="ru-RU"/>
        </w:rPr>
        <w:t>зборнику</w:t>
      </w:r>
      <w:r w:rsidRPr="001E0598">
        <w:rPr>
          <w:b/>
          <w:bCs/>
          <w:i/>
          <w:iCs/>
          <w:lang w:val="sr-Latn-CS"/>
        </w:rPr>
        <w:t xml:space="preserve"> </w:t>
      </w:r>
      <w:r w:rsidRPr="00C13F78">
        <w:rPr>
          <w:b/>
          <w:bCs/>
          <w:i/>
          <w:iCs/>
          <w:lang w:val="ru-RU"/>
        </w:rPr>
        <w:t>водећег</w:t>
      </w:r>
      <w:r w:rsidRPr="001E0598">
        <w:rPr>
          <w:b/>
          <w:bCs/>
          <w:i/>
          <w:iCs/>
          <w:lang w:val="sr-Latn-CS"/>
        </w:rPr>
        <w:t xml:space="preserve"> </w:t>
      </w:r>
      <w:r w:rsidRPr="00C13F78">
        <w:rPr>
          <w:b/>
          <w:bCs/>
          <w:i/>
          <w:iCs/>
          <w:lang w:val="ru-RU"/>
        </w:rPr>
        <w:t>међународног</w:t>
      </w:r>
      <w:r w:rsidRPr="001E0598">
        <w:rPr>
          <w:b/>
          <w:bCs/>
          <w:i/>
          <w:iCs/>
          <w:lang w:val="sr-Latn-CS"/>
        </w:rPr>
        <w:t xml:space="preserve"> </w:t>
      </w:r>
      <w:r w:rsidRPr="00C13F78">
        <w:rPr>
          <w:b/>
          <w:bCs/>
          <w:i/>
          <w:iCs/>
          <w:lang w:val="ru-RU"/>
        </w:rPr>
        <w:t>значаја</w:t>
      </w:r>
      <w:r w:rsidRPr="001E0598">
        <w:rPr>
          <w:b/>
          <w:bCs/>
          <w:lang w:val="sr-Latn-CS"/>
        </w:rPr>
        <w:t xml:space="preserve"> (</w:t>
      </w:r>
      <w:r w:rsidRPr="00C13F78">
        <w:rPr>
          <w:b/>
          <w:bCs/>
          <w:lang w:val="ru-RU"/>
        </w:rPr>
        <w:t>М</w:t>
      </w:r>
      <w:r w:rsidRPr="001E0598">
        <w:rPr>
          <w:b/>
          <w:bCs/>
          <w:lang w:val="sr-Latn-CS"/>
        </w:rPr>
        <w:t xml:space="preserve">13): </w:t>
      </w:r>
    </w:p>
    <w:p w:rsidR="00A22EB9" w:rsidRPr="004F6E06" w:rsidRDefault="00A22EB9" w:rsidP="00C13F78">
      <w:pPr>
        <w:ind w:left="1440" w:hanging="1440"/>
        <w:rPr>
          <w:lang w:val="sr-Latn-CS"/>
        </w:rPr>
      </w:pPr>
    </w:p>
    <w:p w:rsidR="00A22EB9" w:rsidRDefault="00A22EB9" w:rsidP="007B4E80">
      <w:r w:rsidRPr="006A1937">
        <w:rPr>
          <w:lang w:val="sr-Cyrl-CS"/>
        </w:rPr>
        <w:t>“</w:t>
      </w:r>
      <w:r w:rsidRPr="007B0CFE">
        <w:t>Ni</w:t>
      </w:r>
      <w:r w:rsidRPr="006A1937">
        <w:rPr>
          <w:lang w:val="sr-Cyrl-CS"/>
        </w:rPr>
        <w:t>š</w:t>
      </w:r>
      <w:r w:rsidRPr="007B0CFE">
        <w:t>ka</w:t>
      </w:r>
      <w:r w:rsidRPr="006A1937">
        <w:rPr>
          <w:lang w:val="sr-Cyrl-CS"/>
        </w:rPr>
        <w:t xml:space="preserve"> </w:t>
      </w:r>
      <w:r w:rsidRPr="007B0CFE">
        <w:t>Banja</w:t>
      </w:r>
      <w:r w:rsidRPr="006A1937">
        <w:rPr>
          <w:lang w:val="sr-Cyrl-CS"/>
        </w:rPr>
        <w:t xml:space="preserve">: </w:t>
      </w:r>
      <w:r w:rsidRPr="00F34D34">
        <w:t>Moder</w:t>
      </w:r>
      <w:r>
        <w:t>n</w:t>
      </w:r>
      <w:r w:rsidRPr="006A1937">
        <w:rPr>
          <w:lang w:val="sr-Cyrl-CS"/>
        </w:rPr>
        <w:t xml:space="preserve"> </w:t>
      </w:r>
      <w:r>
        <w:t>Architecture</w:t>
      </w:r>
      <w:r w:rsidRPr="006A1937">
        <w:rPr>
          <w:lang w:val="sr-Cyrl-CS"/>
        </w:rPr>
        <w:t xml:space="preserve"> </w:t>
      </w:r>
      <w:r>
        <w:t>for</w:t>
      </w:r>
      <w:r w:rsidRPr="006A1937">
        <w:rPr>
          <w:lang w:val="sr-Cyrl-CS"/>
        </w:rPr>
        <w:t xml:space="preserve"> </w:t>
      </w:r>
      <w:r>
        <w:t>a</w:t>
      </w:r>
      <w:r w:rsidRPr="006A1937">
        <w:rPr>
          <w:lang w:val="sr-Cyrl-CS"/>
        </w:rPr>
        <w:t xml:space="preserve"> </w:t>
      </w:r>
      <w:r>
        <w:t>Modern</w:t>
      </w:r>
      <w:r w:rsidRPr="006A1937">
        <w:rPr>
          <w:lang w:val="sr-Cyrl-CS"/>
        </w:rPr>
        <w:t xml:space="preserve"> </w:t>
      </w:r>
      <w:r>
        <w:t>Spa</w:t>
      </w:r>
      <w:r w:rsidRPr="006A1937">
        <w:rPr>
          <w:lang w:val="sr-Cyrl-CS"/>
        </w:rPr>
        <w:t xml:space="preserve">”, </w:t>
      </w:r>
      <w:r>
        <w:t>in</w:t>
      </w:r>
      <w:r w:rsidRPr="006A1937">
        <w:rPr>
          <w:lang w:val="sr-Cyrl-CS"/>
        </w:rPr>
        <w:t xml:space="preserve"> </w:t>
      </w:r>
      <w:r>
        <w:t>Jelena</w:t>
      </w:r>
      <w:r w:rsidRPr="001239C8">
        <w:t xml:space="preserve"> </w:t>
      </w:r>
      <w:r>
        <w:t>Bogdanović,</w:t>
      </w:r>
      <w:r w:rsidRPr="00F34D34">
        <w:t xml:space="preserve"> Lilien F. Robinson</w:t>
      </w:r>
      <w:r>
        <w:t>, and Igor Marjanovi</w:t>
      </w:r>
      <w:r>
        <w:rPr>
          <w:lang w:val="sr-Latn-CS"/>
        </w:rPr>
        <w:t>ć</w:t>
      </w:r>
      <w:r w:rsidRPr="00F34D34">
        <w:t xml:space="preserve"> (eds.), </w:t>
      </w:r>
      <w:r>
        <w:rPr>
          <w:i/>
          <w:iCs/>
        </w:rPr>
        <w:t>On the Very Edge: Modernism and Modernity</w:t>
      </w:r>
      <w:r w:rsidRPr="00F34D34">
        <w:rPr>
          <w:i/>
          <w:iCs/>
        </w:rPr>
        <w:t xml:space="preserve"> in the Arts and Architecture of Interwar Serbia (1918-1941)</w:t>
      </w:r>
      <w:r>
        <w:t xml:space="preserve"> (Leuven: Leuven University </w:t>
      </w:r>
      <w:r w:rsidRPr="00FC38DB">
        <w:t xml:space="preserve">Press, 2014): 247-268 </w:t>
      </w:r>
      <w:r>
        <w:t xml:space="preserve">– </w:t>
      </w:r>
      <w:hyperlink r:id="rId6" w:history="1">
        <w:r w:rsidRPr="00A92EB3">
          <w:rPr>
            <w:rStyle w:val="Hyperlink"/>
            <w:sz w:val="22"/>
            <w:szCs w:val="22"/>
          </w:rPr>
          <w:t>https://www.academia.edu/15415509/_Ni%C5%A1ka_Banja_Modern_Architecture_for_a_Modern_Spa_in_Jelena_Bogdanovi%C4%87_Lilien_F._Robinson_and_Igor_Marjanovi%C4%87_eds._On_the_Very_Edge_Modernism_and_Modernity_in_the_Arts_and_Architecture_of_Interwar_Serbia_1918-1941_Leuven_Leuven_University_Press_2014_247-268</w:t>
        </w:r>
      </w:hyperlink>
      <w:r w:rsidRPr="00A92EB3">
        <w:rPr>
          <w:sz w:val="22"/>
          <w:szCs w:val="22"/>
        </w:rPr>
        <w:t xml:space="preserve"> </w:t>
      </w:r>
    </w:p>
    <w:p w:rsidR="00A22EB9" w:rsidRPr="00D74B24" w:rsidRDefault="00A22EB9" w:rsidP="00A92EB3">
      <w:pPr>
        <w:rPr>
          <w:b/>
          <w:bCs/>
          <w:u w:val="single"/>
        </w:rPr>
      </w:pPr>
      <w:r w:rsidRPr="00D74B24">
        <w:rPr>
          <w:b/>
          <w:bCs/>
          <w:u w:val="single"/>
        </w:rPr>
        <w:t xml:space="preserve">7 поена </w:t>
      </w:r>
    </w:p>
    <w:p w:rsidR="00A22EB9" w:rsidRPr="00FC38DB" w:rsidRDefault="00A22EB9" w:rsidP="00C13F78"/>
    <w:p w:rsidR="00A22EB9" w:rsidRPr="00FC38DB" w:rsidRDefault="00A22EB9" w:rsidP="00C13F78"/>
    <w:p w:rsidR="00A22EB9" w:rsidRPr="00717BBD" w:rsidRDefault="00A22EB9" w:rsidP="00C13F78">
      <w:pPr>
        <w:rPr>
          <w:b/>
          <w:bCs/>
          <w:i/>
          <w:iCs/>
        </w:rPr>
      </w:pPr>
      <w:r w:rsidRPr="00717BBD">
        <w:rPr>
          <w:b/>
          <w:bCs/>
          <w:i/>
          <w:iCs/>
        </w:rPr>
        <w:t xml:space="preserve">Енциклопедијске </w:t>
      </w:r>
      <w:r>
        <w:rPr>
          <w:b/>
          <w:bCs/>
          <w:i/>
          <w:iCs/>
        </w:rPr>
        <w:t>јединице (</w:t>
      </w:r>
      <w:r w:rsidRPr="00717BBD">
        <w:rPr>
          <w:b/>
          <w:bCs/>
          <w:i/>
          <w:iCs/>
        </w:rPr>
        <w:t>одреднице</w:t>
      </w:r>
      <w:r>
        <w:rPr>
          <w:b/>
          <w:bCs/>
          <w:i/>
          <w:iCs/>
        </w:rPr>
        <w:t>) у публикацији међународног значаја</w:t>
      </w:r>
      <w:r>
        <w:rPr>
          <w:b/>
          <w:bCs/>
        </w:rPr>
        <w:t xml:space="preserve"> (М16): </w:t>
      </w:r>
    </w:p>
    <w:p w:rsidR="00A22EB9" w:rsidRDefault="00A22EB9" w:rsidP="00C13F78">
      <w:pPr>
        <w:ind w:left="1440" w:hanging="1440"/>
      </w:pPr>
    </w:p>
    <w:p w:rsidR="00A22EB9" w:rsidRDefault="00A22EB9" w:rsidP="00A92EB3">
      <w:r w:rsidRPr="00EC755A">
        <w:t>online</w:t>
      </w:r>
      <w:r w:rsidRPr="00717BBD">
        <w:t xml:space="preserve"> </w:t>
      </w:r>
      <w:r w:rsidRPr="00EC755A">
        <w:rPr>
          <w:i/>
          <w:iCs/>
        </w:rPr>
        <w:t>Encyclopaedia</w:t>
      </w:r>
      <w:r w:rsidRPr="00717BBD">
        <w:rPr>
          <w:i/>
          <w:iCs/>
        </w:rPr>
        <w:t xml:space="preserve"> </w:t>
      </w:r>
      <w:r w:rsidRPr="00EC755A">
        <w:rPr>
          <w:i/>
          <w:iCs/>
        </w:rPr>
        <w:t>of</w:t>
      </w:r>
      <w:r w:rsidRPr="00717BBD">
        <w:rPr>
          <w:i/>
          <w:iCs/>
        </w:rPr>
        <w:t xml:space="preserve"> </w:t>
      </w:r>
      <w:r w:rsidRPr="00EC755A">
        <w:rPr>
          <w:i/>
          <w:iCs/>
        </w:rPr>
        <w:t>the</w:t>
      </w:r>
      <w:r w:rsidRPr="00717BBD">
        <w:rPr>
          <w:i/>
          <w:iCs/>
        </w:rPr>
        <w:t xml:space="preserve"> </w:t>
      </w:r>
      <w:r w:rsidRPr="00EC755A">
        <w:rPr>
          <w:i/>
          <w:iCs/>
        </w:rPr>
        <w:t>Hellenic</w:t>
      </w:r>
      <w:r w:rsidRPr="00717BBD">
        <w:rPr>
          <w:i/>
          <w:iCs/>
        </w:rPr>
        <w:t xml:space="preserve"> </w:t>
      </w:r>
      <w:r w:rsidRPr="00EC755A">
        <w:rPr>
          <w:i/>
          <w:iCs/>
        </w:rPr>
        <w:t>World</w:t>
      </w:r>
      <w:r w:rsidRPr="00717BBD">
        <w:rPr>
          <w:i/>
          <w:iCs/>
        </w:rPr>
        <w:t xml:space="preserve">, </w:t>
      </w:r>
      <w:r w:rsidRPr="00EC755A">
        <w:rPr>
          <w:i/>
          <w:iCs/>
        </w:rPr>
        <w:t>Volume</w:t>
      </w:r>
      <w:r w:rsidRPr="00717BBD">
        <w:rPr>
          <w:i/>
          <w:iCs/>
        </w:rPr>
        <w:t xml:space="preserve"> 3: </w:t>
      </w:r>
      <w:r w:rsidRPr="00EC755A">
        <w:rPr>
          <w:i/>
          <w:iCs/>
        </w:rPr>
        <w:t>Constantinople</w:t>
      </w:r>
      <w:r w:rsidRPr="00717BBD">
        <w:t xml:space="preserve"> (</w:t>
      </w:r>
      <w:r w:rsidRPr="00EC755A">
        <w:t>Athens</w:t>
      </w:r>
      <w:r w:rsidRPr="00717BBD">
        <w:t xml:space="preserve">, </w:t>
      </w:r>
      <w:r w:rsidRPr="00EC755A">
        <w:t>Greece</w:t>
      </w:r>
      <w:r w:rsidRPr="00717BBD">
        <w:t xml:space="preserve">, 2008) – одреднице: </w:t>
      </w:r>
    </w:p>
    <w:p w:rsidR="00A22EB9" w:rsidRDefault="00A22EB9" w:rsidP="00A92EB3"/>
    <w:p w:rsidR="00A22EB9" w:rsidRDefault="00A22EB9" w:rsidP="00460847">
      <w:pPr>
        <w:spacing w:after="120"/>
      </w:pPr>
      <w:r w:rsidRPr="00717BBD">
        <w:t>“</w:t>
      </w:r>
      <w:r w:rsidRPr="00EC755A">
        <w:t>Middle</w:t>
      </w:r>
      <w:r w:rsidRPr="00717BBD">
        <w:t xml:space="preserve"> </w:t>
      </w:r>
      <w:r w:rsidRPr="00EC755A">
        <w:t>Byzantine</w:t>
      </w:r>
      <w:r w:rsidRPr="00717BBD">
        <w:t xml:space="preserve"> </w:t>
      </w:r>
      <w:r w:rsidRPr="00EC755A">
        <w:t>Religious</w:t>
      </w:r>
      <w:r w:rsidRPr="00717BBD">
        <w:t xml:space="preserve"> </w:t>
      </w:r>
      <w:r w:rsidRPr="00EC755A">
        <w:t>Architecture</w:t>
      </w:r>
      <w:r w:rsidRPr="00717BBD">
        <w:t xml:space="preserve"> </w:t>
      </w:r>
      <w:r w:rsidRPr="00EC755A">
        <w:t>in</w:t>
      </w:r>
      <w:r w:rsidRPr="00717BBD">
        <w:t xml:space="preserve"> </w:t>
      </w:r>
      <w:r w:rsidRPr="00EC755A">
        <w:t>Constantinople</w:t>
      </w:r>
      <w:r w:rsidRPr="00717BBD">
        <w:t>”,</w:t>
      </w:r>
      <w:r>
        <w:t xml:space="preserve"> </w:t>
      </w:r>
      <w:hyperlink r:id="rId7" w:history="1">
        <w:r w:rsidRPr="00A92EB3">
          <w:rPr>
            <w:rStyle w:val="Hyperlink"/>
            <w:sz w:val="22"/>
            <w:szCs w:val="22"/>
          </w:rPr>
          <w:t>http://constantinople.ehw.gr/forms/fLemmaBodyExtended.aspx?lemmaID=10892</w:t>
        </w:r>
      </w:hyperlink>
      <w:r>
        <w:t xml:space="preserve"> </w:t>
      </w:r>
    </w:p>
    <w:p w:rsidR="00A22EB9" w:rsidRPr="001E5C08" w:rsidRDefault="00A22EB9" w:rsidP="00460847">
      <w:pPr>
        <w:spacing w:after="120"/>
      </w:pPr>
      <w:r>
        <w:t xml:space="preserve"> </w:t>
      </w:r>
      <w:r w:rsidRPr="001E5C08">
        <w:t>“</w:t>
      </w:r>
      <w:r w:rsidRPr="00EC755A">
        <w:t>Nea</w:t>
      </w:r>
      <w:r w:rsidRPr="001E5C08">
        <w:t xml:space="preserve"> </w:t>
      </w:r>
      <w:r w:rsidRPr="00EC755A">
        <w:t>Ekklesia</w:t>
      </w:r>
      <w:r w:rsidRPr="001E5C08">
        <w:t xml:space="preserve">”, </w:t>
      </w:r>
      <w:hyperlink r:id="rId8" w:history="1">
        <w:r w:rsidRPr="00A92EB3">
          <w:rPr>
            <w:rStyle w:val="Hyperlink"/>
            <w:sz w:val="22"/>
            <w:szCs w:val="22"/>
          </w:rPr>
          <w:t>http</w:t>
        </w:r>
        <w:r w:rsidRPr="001E5C08">
          <w:rPr>
            <w:rStyle w:val="Hyperlink"/>
            <w:sz w:val="22"/>
            <w:szCs w:val="22"/>
          </w:rPr>
          <w:t>://</w:t>
        </w:r>
        <w:r w:rsidRPr="00A92EB3">
          <w:rPr>
            <w:rStyle w:val="Hyperlink"/>
            <w:sz w:val="22"/>
            <w:szCs w:val="22"/>
          </w:rPr>
          <w:t>constantinople</w:t>
        </w:r>
        <w:r w:rsidRPr="001E5C08">
          <w:rPr>
            <w:rStyle w:val="Hyperlink"/>
            <w:sz w:val="22"/>
            <w:szCs w:val="22"/>
          </w:rPr>
          <w:t>.</w:t>
        </w:r>
        <w:r w:rsidRPr="00A92EB3">
          <w:rPr>
            <w:rStyle w:val="Hyperlink"/>
            <w:sz w:val="22"/>
            <w:szCs w:val="22"/>
          </w:rPr>
          <w:t>ehw</w:t>
        </w:r>
        <w:r w:rsidRPr="001E5C08">
          <w:rPr>
            <w:rStyle w:val="Hyperlink"/>
            <w:sz w:val="22"/>
            <w:szCs w:val="22"/>
          </w:rPr>
          <w:t>.</w:t>
        </w:r>
        <w:r w:rsidRPr="00A92EB3">
          <w:rPr>
            <w:rStyle w:val="Hyperlink"/>
            <w:sz w:val="22"/>
            <w:szCs w:val="22"/>
          </w:rPr>
          <w:t>gr</w:t>
        </w:r>
        <w:r w:rsidRPr="001E5C08">
          <w:rPr>
            <w:rStyle w:val="Hyperlink"/>
            <w:sz w:val="22"/>
            <w:szCs w:val="22"/>
          </w:rPr>
          <w:t>/</w:t>
        </w:r>
        <w:r w:rsidRPr="00A92EB3">
          <w:rPr>
            <w:rStyle w:val="Hyperlink"/>
            <w:sz w:val="22"/>
            <w:szCs w:val="22"/>
          </w:rPr>
          <w:t>forms</w:t>
        </w:r>
        <w:r w:rsidRPr="001E5C08">
          <w:rPr>
            <w:rStyle w:val="Hyperlink"/>
            <w:sz w:val="22"/>
            <w:szCs w:val="22"/>
          </w:rPr>
          <w:t>/</w:t>
        </w:r>
        <w:r w:rsidRPr="00A92EB3">
          <w:rPr>
            <w:rStyle w:val="Hyperlink"/>
            <w:sz w:val="22"/>
            <w:szCs w:val="22"/>
          </w:rPr>
          <w:t>fLemmaBodyExtended</w:t>
        </w:r>
        <w:r w:rsidRPr="001E5C08">
          <w:rPr>
            <w:rStyle w:val="Hyperlink"/>
            <w:sz w:val="22"/>
            <w:szCs w:val="22"/>
          </w:rPr>
          <w:t>.</w:t>
        </w:r>
        <w:r w:rsidRPr="00A92EB3">
          <w:rPr>
            <w:rStyle w:val="Hyperlink"/>
            <w:sz w:val="22"/>
            <w:szCs w:val="22"/>
          </w:rPr>
          <w:t>aspx</w:t>
        </w:r>
        <w:r w:rsidRPr="001E5C08">
          <w:rPr>
            <w:rStyle w:val="Hyperlink"/>
            <w:sz w:val="22"/>
            <w:szCs w:val="22"/>
          </w:rPr>
          <w:t>?</w:t>
        </w:r>
        <w:r w:rsidRPr="00A92EB3">
          <w:rPr>
            <w:rStyle w:val="Hyperlink"/>
            <w:sz w:val="22"/>
            <w:szCs w:val="22"/>
          </w:rPr>
          <w:t>lemmaID</w:t>
        </w:r>
        <w:r w:rsidRPr="001E5C08">
          <w:rPr>
            <w:rStyle w:val="Hyperlink"/>
            <w:sz w:val="22"/>
            <w:szCs w:val="22"/>
          </w:rPr>
          <w:t>=12328</w:t>
        </w:r>
      </w:hyperlink>
      <w:r w:rsidRPr="001E5C08">
        <w:t xml:space="preserve"> </w:t>
      </w:r>
    </w:p>
    <w:p w:rsidR="00A22EB9" w:rsidRPr="001E5C08" w:rsidRDefault="00A22EB9" w:rsidP="00460847">
      <w:pPr>
        <w:spacing w:after="120"/>
      </w:pPr>
      <w:r>
        <w:t xml:space="preserve"> </w:t>
      </w:r>
      <w:r w:rsidRPr="001E5C08">
        <w:t>“</w:t>
      </w:r>
      <w:r>
        <w:t>Theotokos</w:t>
      </w:r>
      <w:r w:rsidRPr="001E5C08">
        <w:t xml:space="preserve"> </w:t>
      </w:r>
      <w:r>
        <w:t>Panachrantos</w:t>
      </w:r>
      <w:r w:rsidRPr="001E5C08">
        <w:t xml:space="preserve"> </w:t>
      </w:r>
      <w:r>
        <w:t>or</w:t>
      </w:r>
      <w:r w:rsidRPr="001E5C08">
        <w:t xml:space="preserve"> </w:t>
      </w:r>
      <w:r w:rsidRPr="00EC755A">
        <w:t>Lips</w:t>
      </w:r>
      <w:r w:rsidRPr="001E5C08">
        <w:t xml:space="preserve"> </w:t>
      </w:r>
      <w:r w:rsidRPr="00EC755A">
        <w:t>Monastery</w:t>
      </w:r>
      <w:r w:rsidRPr="001E5C08">
        <w:t xml:space="preserve"> (</w:t>
      </w:r>
      <w:r>
        <w:t>Fenari</w:t>
      </w:r>
      <w:r w:rsidRPr="001E5C08">
        <w:t xml:space="preserve"> </w:t>
      </w:r>
      <w:r>
        <w:t>Isa</w:t>
      </w:r>
      <w:r w:rsidRPr="001E5C08">
        <w:t xml:space="preserve"> </w:t>
      </w:r>
      <w:r w:rsidRPr="00633CA7">
        <w:t>Camii</w:t>
      </w:r>
      <w:r w:rsidRPr="001E5C08">
        <w:t xml:space="preserve">)”, </w:t>
      </w:r>
      <w:hyperlink r:id="rId9" w:history="1">
        <w:r w:rsidRPr="00A92EB3">
          <w:rPr>
            <w:rStyle w:val="Hyperlink"/>
            <w:sz w:val="22"/>
            <w:szCs w:val="22"/>
          </w:rPr>
          <w:t>http</w:t>
        </w:r>
        <w:r w:rsidRPr="001E5C08">
          <w:rPr>
            <w:rStyle w:val="Hyperlink"/>
            <w:sz w:val="22"/>
            <w:szCs w:val="22"/>
          </w:rPr>
          <w:t>://</w:t>
        </w:r>
        <w:r w:rsidRPr="00A92EB3">
          <w:rPr>
            <w:rStyle w:val="Hyperlink"/>
            <w:sz w:val="22"/>
            <w:szCs w:val="22"/>
          </w:rPr>
          <w:t>constantinople</w:t>
        </w:r>
        <w:r w:rsidRPr="001E5C08">
          <w:rPr>
            <w:rStyle w:val="Hyperlink"/>
            <w:sz w:val="22"/>
            <w:szCs w:val="22"/>
          </w:rPr>
          <w:t>.</w:t>
        </w:r>
        <w:r w:rsidRPr="00A92EB3">
          <w:rPr>
            <w:rStyle w:val="Hyperlink"/>
            <w:sz w:val="22"/>
            <w:szCs w:val="22"/>
          </w:rPr>
          <w:t>ehw</w:t>
        </w:r>
        <w:r w:rsidRPr="001E5C08">
          <w:rPr>
            <w:rStyle w:val="Hyperlink"/>
            <w:sz w:val="22"/>
            <w:szCs w:val="22"/>
          </w:rPr>
          <w:t>.</w:t>
        </w:r>
        <w:r w:rsidRPr="00A92EB3">
          <w:rPr>
            <w:rStyle w:val="Hyperlink"/>
            <w:sz w:val="22"/>
            <w:szCs w:val="22"/>
          </w:rPr>
          <w:t>gr</w:t>
        </w:r>
        <w:r w:rsidRPr="001E5C08">
          <w:rPr>
            <w:rStyle w:val="Hyperlink"/>
            <w:sz w:val="22"/>
            <w:szCs w:val="22"/>
          </w:rPr>
          <w:t>/</w:t>
        </w:r>
        <w:r w:rsidRPr="00A92EB3">
          <w:rPr>
            <w:rStyle w:val="Hyperlink"/>
            <w:sz w:val="22"/>
            <w:szCs w:val="22"/>
          </w:rPr>
          <w:t>forms</w:t>
        </w:r>
        <w:r w:rsidRPr="001E5C08">
          <w:rPr>
            <w:rStyle w:val="Hyperlink"/>
            <w:sz w:val="22"/>
            <w:szCs w:val="22"/>
          </w:rPr>
          <w:t>/</w:t>
        </w:r>
        <w:r w:rsidRPr="00A92EB3">
          <w:rPr>
            <w:rStyle w:val="Hyperlink"/>
            <w:sz w:val="22"/>
            <w:szCs w:val="22"/>
          </w:rPr>
          <w:t>fLemmaBodyExtended</w:t>
        </w:r>
        <w:r w:rsidRPr="001E5C08">
          <w:rPr>
            <w:rStyle w:val="Hyperlink"/>
            <w:sz w:val="22"/>
            <w:szCs w:val="22"/>
          </w:rPr>
          <w:t>.</w:t>
        </w:r>
        <w:r w:rsidRPr="00A92EB3">
          <w:rPr>
            <w:rStyle w:val="Hyperlink"/>
            <w:sz w:val="22"/>
            <w:szCs w:val="22"/>
          </w:rPr>
          <w:t>aspx</w:t>
        </w:r>
        <w:r w:rsidRPr="001E5C08">
          <w:rPr>
            <w:rStyle w:val="Hyperlink"/>
            <w:sz w:val="22"/>
            <w:szCs w:val="22"/>
          </w:rPr>
          <w:t>?</w:t>
        </w:r>
        <w:r w:rsidRPr="00A92EB3">
          <w:rPr>
            <w:rStyle w:val="Hyperlink"/>
            <w:sz w:val="22"/>
            <w:szCs w:val="22"/>
          </w:rPr>
          <w:t>lemmaID</w:t>
        </w:r>
        <w:r w:rsidRPr="001E5C08">
          <w:rPr>
            <w:rStyle w:val="Hyperlink"/>
            <w:sz w:val="22"/>
            <w:szCs w:val="22"/>
          </w:rPr>
          <w:t>=10907</w:t>
        </w:r>
      </w:hyperlink>
      <w:r w:rsidRPr="001E5C08">
        <w:t xml:space="preserve"> </w:t>
      </w:r>
    </w:p>
    <w:p w:rsidR="00A22EB9" w:rsidRPr="001E5C08" w:rsidRDefault="00A22EB9" w:rsidP="00A92EB3">
      <w:pPr>
        <w:rPr>
          <w:b/>
          <w:bCs/>
        </w:rPr>
      </w:pPr>
      <w:r w:rsidRPr="001E5C08">
        <w:rPr>
          <w:b/>
          <w:bCs/>
        </w:rPr>
        <w:t xml:space="preserve">3 х 2 поена = </w:t>
      </w:r>
      <w:r w:rsidRPr="001E5C08">
        <w:rPr>
          <w:b/>
          <w:bCs/>
          <w:u w:val="single"/>
        </w:rPr>
        <w:t>6 поена</w:t>
      </w:r>
      <w:r w:rsidRPr="001E5C08">
        <w:rPr>
          <w:b/>
          <w:bCs/>
        </w:rPr>
        <w:t xml:space="preserve"> </w:t>
      </w:r>
    </w:p>
    <w:p w:rsidR="00A22EB9" w:rsidRPr="001E5C08" w:rsidRDefault="00A22EB9" w:rsidP="00C13F78"/>
    <w:p w:rsidR="00A22EB9" w:rsidRPr="001E5C08" w:rsidRDefault="00A22EB9" w:rsidP="00C13F78"/>
    <w:p w:rsidR="00A22EB9" w:rsidRPr="001E5C08" w:rsidRDefault="00A22EB9" w:rsidP="00C13F78">
      <w:pPr>
        <w:rPr>
          <w:b/>
          <w:bCs/>
        </w:rPr>
      </w:pPr>
      <w:r w:rsidRPr="001E5C08">
        <w:rPr>
          <w:b/>
          <w:bCs/>
          <w:i/>
          <w:iCs/>
        </w:rPr>
        <w:t>Рад објављен у часопису међународног значаја</w:t>
      </w:r>
      <w:r w:rsidRPr="001E5C08">
        <w:rPr>
          <w:b/>
          <w:bCs/>
        </w:rPr>
        <w:t xml:space="preserve"> (М23): </w:t>
      </w:r>
    </w:p>
    <w:p w:rsidR="00A22EB9" w:rsidRPr="001E5C08" w:rsidRDefault="00A22EB9" w:rsidP="00C13F78">
      <w:pPr>
        <w:ind w:left="1440" w:hanging="1440"/>
      </w:pPr>
    </w:p>
    <w:p w:rsidR="00A22EB9" w:rsidRDefault="00A22EB9" w:rsidP="00A92EB3">
      <w:r w:rsidRPr="00FC38DB">
        <w:t>“Milutin Borisavljević and His Scientific Aesthetics</w:t>
      </w:r>
      <w:r w:rsidRPr="002A0645">
        <w:t xml:space="preserve"> of Architecture”</w:t>
      </w:r>
      <w:r>
        <w:t xml:space="preserve">, in </w:t>
      </w:r>
      <w:r w:rsidRPr="005639ED">
        <w:rPr>
          <w:i/>
          <w:iCs/>
        </w:rPr>
        <w:t>Serbian Studies</w:t>
      </w:r>
      <w:r>
        <w:rPr>
          <w:i/>
          <w:iCs/>
        </w:rPr>
        <w:t>: Journal of the North American Society for Serbian Studies</w:t>
      </w:r>
      <w:r>
        <w:t xml:space="preserve"> 22:2 (2008; published in 2011), Special Issue: Serbian Thinkers of the Interwar Period (1918-45): </w:t>
      </w:r>
      <w:r w:rsidRPr="00502F34">
        <w:t>133-147</w:t>
      </w:r>
      <w:r>
        <w:t xml:space="preserve"> + илустрације </w:t>
      </w:r>
      <w:r w:rsidRPr="00717BBD">
        <w:t xml:space="preserve">– </w:t>
      </w:r>
      <w:hyperlink r:id="rId10" w:history="1">
        <w:r w:rsidRPr="00A92EB3">
          <w:rPr>
            <w:rStyle w:val="Hyperlink"/>
            <w:sz w:val="22"/>
            <w:szCs w:val="22"/>
          </w:rPr>
          <w:t>https://www.academia.edu/2243427/_Milutin_Borisavljevi%C4%87_and_His_Scientific_Aesthetics_of_Architecture_in_Serbian_Studies_Journal_of_the_North_American_Society_for_Serbian_Studies_22_2_2008_published_in_2011_pp._133-147</w:t>
        </w:r>
      </w:hyperlink>
      <w:r w:rsidRPr="00A92EB3">
        <w:rPr>
          <w:sz w:val="22"/>
          <w:szCs w:val="22"/>
        </w:rPr>
        <w:t xml:space="preserve"> </w:t>
      </w:r>
    </w:p>
    <w:p w:rsidR="00A22EB9" w:rsidRPr="00E73418" w:rsidRDefault="00A22EB9" w:rsidP="00A92EB3">
      <w:pPr>
        <w:rPr>
          <w:b/>
          <w:bCs/>
          <w:u w:val="single"/>
        </w:rPr>
      </w:pPr>
      <w:r w:rsidRPr="00E73418">
        <w:rPr>
          <w:b/>
          <w:bCs/>
          <w:u w:val="single"/>
        </w:rPr>
        <w:t xml:space="preserve">4 поена </w:t>
      </w:r>
    </w:p>
    <w:p w:rsidR="00A22EB9" w:rsidRDefault="00A22EB9" w:rsidP="00C13F78">
      <w:pPr>
        <w:ind w:left="1440" w:hanging="1440"/>
      </w:pPr>
    </w:p>
    <w:p w:rsidR="00A22EB9" w:rsidRDefault="00A22EB9" w:rsidP="00C13F78">
      <w:pPr>
        <w:ind w:left="1440" w:hanging="1440"/>
      </w:pPr>
    </w:p>
    <w:p w:rsidR="00A22EB9" w:rsidRPr="00D74B24" w:rsidRDefault="00A22EB9" w:rsidP="00A92EB3">
      <w:pPr>
        <w:rPr>
          <w:b/>
          <w:bCs/>
        </w:rPr>
      </w:pPr>
      <w:r>
        <w:rPr>
          <w:b/>
          <w:bCs/>
          <w:i/>
          <w:iCs/>
        </w:rPr>
        <w:t>Предавање по позиву с међународног научног скупа штампано у изводу</w:t>
      </w:r>
      <w:r>
        <w:rPr>
          <w:b/>
          <w:bCs/>
        </w:rPr>
        <w:t xml:space="preserve"> (М32):</w:t>
      </w:r>
      <w:r w:rsidRPr="00D74B24">
        <w:rPr>
          <w:b/>
          <w:bCs/>
        </w:rPr>
        <w:t xml:space="preserve"> </w:t>
      </w:r>
    </w:p>
    <w:p w:rsidR="00A22EB9" w:rsidRPr="00D74B24" w:rsidRDefault="00A22EB9" w:rsidP="00A92EB3">
      <w:pPr>
        <w:ind w:left="1440"/>
      </w:pPr>
    </w:p>
    <w:p w:rsidR="00A22EB9" w:rsidRDefault="00A22EB9" w:rsidP="007B4E80">
      <w:r>
        <w:t xml:space="preserve">“Formation of the </w:t>
      </w:r>
      <w:r w:rsidRPr="00A558E7">
        <w:rPr>
          <w:i/>
          <w:iCs/>
        </w:rPr>
        <w:t>litē</w:t>
      </w:r>
      <w:r>
        <w:t xml:space="preserve"> on Mount Athos: Liturgical and Historical Aspects”, in </w:t>
      </w:r>
      <w:r w:rsidRPr="00A558E7">
        <w:rPr>
          <w:i/>
          <w:iCs/>
        </w:rPr>
        <w:t>Proceedings of the 22nd International Congress of Byzantine Studies, Sofia, 22-</w:t>
      </w:r>
      <w:r w:rsidRPr="00336CDF">
        <w:rPr>
          <w:i/>
          <w:iCs/>
        </w:rPr>
        <w:t>27 August 2011, Volume II: Abstracts of Round Table Communications</w:t>
      </w:r>
      <w:r>
        <w:t xml:space="preserve">, Edited by Iliya Iliev, with the assistance of Elena Kostova and Vladimir Angelov </w:t>
      </w:r>
      <w:r w:rsidRPr="00336CDF">
        <w:t>(Sofia</w:t>
      </w:r>
      <w:r>
        <w:t>: Bulgarian Historical Heritage Foundation</w:t>
      </w:r>
      <w:r w:rsidRPr="00336CDF">
        <w:t xml:space="preserve">, 2011): 91-92 </w:t>
      </w:r>
    </w:p>
    <w:p w:rsidR="00A22EB9" w:rsidRPr="00E73418" w:rsidRDefault="00A22EB9" w:rsidP="007B4E80">
      <w:pPr>
        <w:rPr>
          <w:b/>
          <w:bCs/>
          <w:u w:val="single"/>
        </w:rPr>
      </w:pPr>
      <w:r>
        <w:rPr>
          <w:b/>
          <w:bCs/>
          <w:u w:val="single"/>
        </w:rPr>
        <w:t>1,5 поен</w:t>
      </w:r>
      <w:r w:rsidRPr="00E73418">
        <w:rPr>
          <w:b/>
          <w:bCs/>
          <w:u w:val="single"/>
        </w:rPr>
        <w:t xml:space="preserve"> </w:t>
      </w:r>
    </w:p>
    <w:p w:rsidR="00A22EB9" w:rsidRDefault="00A22EB9" w:rsidP="00A92EB3">
      <w:pPr>
        <w:ind w:left="90"/>
      </w:pPr>
    </w:p>
    <w:p w:rsidR="00A22EB9" w:rsidRDefault="00A22EB9" w:rsidP="00A92EB3">
      <w:pPr>
        <w:ind w:left="1440"/>
      </w:pPr>
    </w:p>
    <w:p w:rsidR="00A22EB9" w:rsidRPr="00D74B24" w:rsidRDefault="00A22EB9" w:rsidP="00A92EB3">
      <w:pPr>
        <w:rPr>
          <w:b/>
          <w:bCs/>
        </w:rPr>
      </w:pPr>
      <w:r>
        <w:rPr>
          <w:b/>
          <w:bCs/>
          <w:i/>
          <w:iCs/>
        </w:rPr>
        <w:t>Саопштења с међународних научних скупова штампана у изводу</w:t>
      </w:r>
      <w:r>
        <w:rPr>
          <w:b/>
          <w:bCs/>
        </w:rPr>
        <w:t xml:space="preserve"> (М34):</w:t>
      </w:r>
      <w:r w:rsidRPr="00D74B24">
        <w:rPr>
          <w:b/>
          <w:bCs/>
        </w:rPr>
        <w:t xml:space="preserve"> </w:t>
      </w:r>
    </w:p>
    <w:p w:rsidR="00A22EB9" w:rsidRPr="00D74B24" w:rsidRDefault="00A22EB9" w:rsidP="00A92EB3">
      <w:pPr>
        <w:ind w:left="1440"/>
      </w:pPr>
    </w:p>
    <w:p w:rsidR="00A22EB9" w:rsidRPr="00E73418" w:rsidRDefault="00A22EB9" w:rsidP="00A92EB3">
      <w:r>
        <w:t>“</w:t>
      </w:r>
      <w:r w:rsidRPr="009310B6">
        <w:rPr>
          <w:rStyle w:val="Emphasis"/>
        </w:rPr>
        <w:t>Dwelling within the Holy: Accommodation of a Monastic Cell in the Katēchoumena at Great Lavra (Mount Athos) and Other Middle Byzantine Monasteries</w:t>
      </w:r>
      <w:r>
        <w:rPr>
          <w:rStyle w:val="Emphasis"/>
        </w:rPr>
        <w:t xml:space="preserve">”, in </w:t>
      </w:r>
      <w:r w:rsidRPr="00A558E7">
        <w:rPr>
          <w:i/>
          <w:iCs/>
        </w:rPr>
        <w:t>Proceedings of the 2</w:t>
      </w:r>
      <w:r>
        <w:rPr>
          <w:i/>
          <w:iCs/>
        </w:rPr>
        <w:t>3r</w:t>
      </w:r>
      <w:r w:rsidRPr="00A558E7">
        <w:rPr>
          <w:i/>
          <w:iCs/>
        </w:rPr>
        <w:t xml:space="preserve">d International Congress of Byzantine Studies, </w:t>
      </w:r>
      <w:r>
        <w:rPr>
          <w:i/>
          <w:iCs/>
        </w:rPr>
        <w:t>Belgrade</w:t>
      </w:r>
      <w:r w:rsidRPr="00A558E7">
        <w:rPr>
          <w:i/>
          <w:iCs/>
        </w:rPr>
        <w:t>, 22-</w:t>
      </w:r>
      <w:r>
        <w:rPr>
          <w:i/>
          <w:iCs/>
        </w:rPr>
        <w:t>27 August 2016</w:t>
      </w:r>
      <w:r w:rsidRPr="00336CDF">
        <w:rPr>
          <w:i/>
          <w:iCs/>
        </w:rPr>
        <w:t xml:space="preserve">, </w:t>
      </w:r>
      <w:r>
        <w:rPr>
          <w:i/>
          <w:iCs/>
        </w:rPr>
        <w:t>Thematic Sessions of Free</w:t>
      </w:r>
      <w:r w:rsidRPr="00336CDF">
        <w:rPr>
          <w:i/>
          <w:iCs/>
        </w:rPr>
        <w:t xml:space="preserve"> Communications</w:t>
      </w:r>
      <w:r>
        <w:t xml:space="preserve">, Edited by Dejan Dželebdžić and Stanoje Bojanin, with the assistance of Miloš Cvetković and Tamara Matović </w:t>
      </w:r>
      <w:r w:rsidRPr="00336CDF">
        <w:t>(</w:t>
      </w:r>
      <w:r>
        <w:t>Belgrade: The Serbian National Committee of Byzantine Studies, 2016): 760-76</w:t>
      </w:r>
      <w:r w:rsidRPr="00336CDF">
        <w:t>1</w:t>
      </w:r>
      <w:r>
        <w:t xml:space="preserve"> </w:t>
      </w:r>
    </w:p>
    <w:p w:rsidR="00A22EB9" w:rsidRDefault="00A22EB9" w:rsidP="00A92EB3">
      <w:r>
        <w:t xml:space="preserve"> </w:t>
      </w:r>
      <w:r>
        <w:tab/>
      </w:r>
    </w:p>
    <w:p w:rsidR="00A22EB9" w:rsidRDefault="00A22EB9" w:rsidP="00A92EB3">
      <w:r>
        <w:t>“</w:t>
      </w:r>
      <w:r>
        <w:rPr>
          <w:rStyle w:val="Emphasis"/>
        </w:rPr>
        <w:t>Phialai</w:t>
      </w:r>
      <w:r w:rsidRPr="009310B6">
        <w:rPr>
          <w:rStyle w:val="Emphasis"/>
        </w:rPr>
        <w:t xml:space="preserve"> on Mount Athos in the Middle Byzantine Period: Some Observations on Their Location, Setting, and Use</w:t>
      </w:r>
      <w:r>
        <w:rPr>
          <w:rStyle w:val="Emphasis"/>
        </w:rPr>
        <w:t xml:space="preserve">”, in </w:t>
      </w:r>
      <w:r w:rsidRPr="00A558E7">
        <w:rPr>
          <w:i/>
          <w:iCs/>
        </w:rPr>
        <w:t>Proceedings of the 2</w:t>
      </w:r>
      <w:r>
        <w:rPr>
          <w:i/>
          <w:iCs/>
        </w:rPr>
        <w:t>3r</w:t>
      </w:r>
      <w:r w:rsidRPr="00A558E7">
        <w:rPr>
          <w:i/>
          <w:iCs/>
        </w:rPr>
        <w:t xml:space="preserve">d International Congress of Byzantine Studies, </w:t>
      </w:r>
      <w:r>
        <w:rPr>
          <w:i/>
          <w:iCs/>
        </w:rPr>
        <w:t>Belgrade</w:t>
      </w:r>
      <w:r w:rsidRPr="00A558E7">
        <w:rPr>
          <w:i/>
          <w:iCs/>
        </w:rPr>
        <w:t>, 22-</w:t>
      </w:r>
      <w:r>
        <w:rPr>
          <w:i/>
          <w:iCs/>
        </w:rPr>
        <w:t>27 August 2016</w:t>
      </w:r>
      <w:r w:rsidRPr="00336CDF">
        <w:rPr>
          <w:i/>
          <w:iCs/>
        </w:rPr>
        <w:t xml:space="preserve">, </w:t>
      </w:r>
      <w:r>
        <w:rPr>
          <w:i/>
          <w:iCs/>
        </w:rPr>
        <w:t>Thematic Sessions of Free</w:t>
      </w:r>
      <w:r w:rsidRPr="00336CDF">
        <w:rPr>
          <w:i/>
          <w:iCs/>
        </w:rPr>
        <w:t xml:space="preserve"> Communications</w:t>
      </w:r>
      <w:r>
        <w:t xml:space="preserve">, Edited by Dejan Dželebdžić and Stanoje Bojanin, with the assistance of Miloš Cvetković and Tamara Matović </w:t>
      </w:r>
      <w:r w:rsidRPr="00336CDF">
        <w:t>(</w:t>
      </w:r>
      <w:r>
        <w:t>Belgrade: The Serbian National Committee of Byzantine Studies, 2016): 414-415</w:t>
      </w:r>
      <w:r w:rsidRPr="00336CDF">
        <w:t xml:space="preserve"> </w:t>
      </w:r>
    </w:p>
    <w:p w:rsidR="00A22EB9" w:rsidRPr="006240CC" w:rsidRDefault="00A22EB9" w:rsidP="00A92EB3">
      <w:pPr>
        <w:rPr>
          <w:b/>
          <w:bCs/>
        </w:rPr>
      </w:pPr>
      <w:r w:rsidRPr="006240CC">
        <w:rPr>
          <w:b/>
          <w:bCs/>
        </w:rPr>
        <w:t xml:space="preserve">2 х 0,5 поена = </w:t>
      </w:r>
      <w:r w:rsidRPr="006240CC">
        <w:rPr>
          <w:b/>
          <w:bCs/>
          <w:u w:val="single"/>
        </w:rPr>
        <w:t>1 поен</w:t>
      </w:r>
      <w:r w:rsidRPr="006240CC">
        <w:rPr>
          <w:b/>
          <w:bCs/>
        </w:rPr>
        <w:t xml:space="preserve"> </w:t>
      </w:r>
    </w:p>
    <w:p w:rsidR="00A22EB9" w:rsidRDefault="00A22EB9" w:rsidP="00A92EB3">
      <w:pPr>
        <w:ind w:left="1440"/>
      </w:pPr>
    </w:p>
    <w:p w:rsidR="00A22EB9" w:rsidRDefault="00A22EB9" w:rsidP="00A92EB3">
      <w:pPr>
        <w:ind w:left="1440"/>
      </w:pPr>
    </w:p>
    <w:p w:rsidR="00A22EB9" w:rsidRPr="00D74B24" w:rsidRDefault="00A22EB9" w:rsidP="00A92EB3">
      <w:pPr>
        <w:rPr>
          <w:b/>
          <w:bCs/>
        </w:rPr>
      </w:pPr>
      <w:r>
        <w:rPr>
          <w:b/>
          <w:bCs/>
          <w:i/>
          <w:iCs/>
        </w:rPr>
        <w:t>Рад у тематском зборнику националног значаја</w:t>
      </w:r>
      <w:r>
        <w:rPr>
          <w:b/>
          <w:bCs/>
        </w:rPr>
        <w:t xml:space="preserve"> (М45):</w:t>
      </w:r>
      <w:r w:rsidRPr="00D74B24">
        <w:rPr>
          <w:b/>
          <w:bCs/>
        </w:rPr>
        <w:t xml:space="preserve"> </w:t>
      </w:r>
    </w:p>
    <w:p w:rsidR="00A22EB9" w:rsidRPr="00D74B24" w:rsidRDefault="00A22EB9" w:rsidP="00A92EB3">
      <w:pPr>
        <w:ind w:left="1440"/>
      </w:pPr>
    </w:p>
    <w:p w:rsidR="00A22EB9" w:rsidRPr="00E73418" w:rsidRDefault="00A22EB9" w:rsidP="00A92EB3">
      <w:r w:rsidRPr="00E73418">
        <w:t>(са Јеленом Богдановић) “</w:t>
      </w:r>
      <w:r w:rsidRPr="00EC755A">
        <w:t>Politi</w:t>
      </w:r>
      <w:r w:rsidRPr="00E73418">
        <w:t>č</w:t>
      </w:r>
      <w:r w:rsidRPr="00EC755A">
        <w:t>ka</w:t>
      </w:r>
      <w:r w:rsidRPr="00E73418">
        <w:t xml:space="preserve"> </w:t>
      </w:r>
      <w:r w:rsidRPr="00EC755A">
        <w:t>ideologija</w:t>
      </w:r>
      <w:r w:rsidRPr="00E73418">
        <w:t xml:space="preserve"> </w:t>
      </w:r>
      <w:r w:rsidRPr="00EC755A">
        <w:t>i</w:t>
      </w:r>
      <w:r w:rsidRPr="00E73418">
        <w:t xml:space="preserve"> </w:t>
      </w:r>
      <w:r w:rsidRPr="00EC755A">
        <w:t>arhitektura</w:t>
      </w:r>
      <w:r w:rsidRPr="00E73418">
        <w:t xml:space="preserve">”, </w:t>
      </w:r>
      <w:r>
        <w:t>in</w:t>
      </w:r>
      <w:r w:rsidRPr="00E73418">
        <w:t xml:space="preserve"> </w:t>
      </w:r>
      <w:r>
        <w:t>Slobodan</w:t>
      </w:r>
      <w:r w:rsidRPr="00E73418">
        <w:t xml:space="preserve"> </w:t>
      </w:r>
      <w:r>
        <w:t>Markovi</w:t>
      </w:r>
      <w:r w:rsidRPr="00E73418">
        <w:t>ć (</w:t>
      </w:r>
      <w:r>
        <w:t>ed</w:t>
      </w:r>
      <w:r w:rsidRPr="00E73418">
        <w:t xml:space="preserve">.), </w:t>
      </w:r>
      <w:r>
        <w:rPr>
          <w:i/>
          <w:iCs/>
        </w:rPr>
        <w:t>Zbornik</w:t>
      </w:r>
      <w:r w:rsidRPr="00E73418">
        <w:rPr>
          <w:i/>
          <w:iCs/>
        </w:rPr>
        <w:t xml:space="preserve"> </w:t>
      </w:r>
      <w:r>
        <w:rPr>
          <w:i/>
          <w:iCs/>
        </w:rPr>
        <w:t>Beogradske</w:t>
      </w:r>
      <w:r w:rsidRPr="00E73418">
        <w:rPr>
          <w:i/>
          <w:iCs/>
        </w:rPr>
        <w:t xml:space="preserve"> </w:t>
      </w:r>
      <w:r>
        <w:rPr>
          <w:i/>
          <w:iCs/>
        </w:rPr>
        <w:t>otvorene</w:t>
      </w:r>
      <w:r w:rsidRPr="00E73418">
        <w:rPr>
          <w:i/>
          <w:iCs/>
        </w:rPr>
        <w:t xml:space="preserve"> š</w:t>
      </w:r>
      <w:r>
        <w:rPr>
          <w:i/>
          <w:iCs/>
        </w:rPr>
        <w:t>kole</w:t>
      </w:r>
      <w:r w:rsidRPr="00E73418">
        <w:rPr>
          <w:i/>
          <w:iCs/>
        </w:rPr>
        <w:t xml:space="preserve">: </w:t>
      </w:r>
      <w:r>
        <w:rPr>
          <w:i/>
          <w:iCs/>
        </w:rPr>
        <w:t>Radovi</w:t>
      </w:r>
      <w:r w:rsidRPr="00E73418">
        <w:rPr>
          <w:i/>
          <w:iCs/>
        </w:rPr>
        <w:t xml:space="preserve"> </w:t>
      </w:r>
      <w:r>
        <w:rPr>
          <w:i/>
          <w:iCs/>
        </w:rPr>
        <w:t>polaznika</w:t>
      </w:r>
      <w:r w:rsidRPr="00E73418">
        <w:rPr>
          <w:i/>
          <w:iCs/>
        </w:rPr>
        <w:t xml:space="preserve"> </w:t>
      </w:r>
      <w:r>
        <w:rPr>
          <w:i/>
          <w:iCs/>
        </w:rPr>
        <w:t>generacije</w:t>
      </w:r>
      <w:r w:rsidRPr="00E73418">
        <w:rPr>
          <w:i/>
          <w:iCs/>
        </w:rPr>
        <w:t xml:space="preserve"> 1995/1996, 1996/1997, 1997/1998</w:t>
      </w:r>
      <w:r w:rsidRPr="00E73418">
        <w:t xml:space="preserve"> (</w:t>
      </w:r>
      <w:r>
        <w:t>Beograd</w:t>
      </w:r>
      <w:r w:rsidRPr="00E73418">
        <w:t xml:space="preserve">: </w:t>
      </w:r>
      <w:r>
        <w:t>Beogradska</w:t>
      </w:r>
      <w:r w:rsidRPr="00E73418">
        <w:t xml:space="preserve"> </w:t>
      </w:r>
      <w:r>
        <w:t>otvorena</w:t>
      </w:r>
      <w:r w:rsidRPr="00E73418">
        <w:t xml:space="preserve"> š</w:t>
      </w:r>
      <w:r>
        <w:t>kola, 1999): 213-226</w:t>
      </w:r>
      <w:r w:rsidRPr="00E73418">
        <w:t xml:space="preserve"> </w:t>
      </w:r>
    </w:p>
    <w:p w:rsidR="00A22EB9" w:rsidRPr="00E73418" w:rsidRDefault="00A22EB9" w:rsidP="00A92EB3">
      <w:pPr>
        <w:rPr>
          <w:b/>
          <w:bCs/>
          <w:u w:val="single"/>
        </w:rPr>
      </w:pPr>
      <w:r w:rsidRPr="00E73418">
        <w:rPr>
          <w:b/>
          <w:bCs/>
          <w:u w:val="single"/>
        </w:rPr>
        <w:t xml:space="preserve">1,5 поен </w:t>
      </w:r>
    </w:p>
    <w:p w:rsidR="00A22EB9" w:rsidRDefault="00A22EB9" w:rsidP="00A92EB3"/>
    <w:p w:rsidR="00A22EB9" w:rsidRPr="006240CC" w:rsidRDefault="00A22EB9" w:rsidP="00A92EB3"/>
    <w:p w:rsidR="00A22EB9" w:rsidRPr="00D74B24" w:rsidRDefault="00A22EB9" w:rsidP="00A92EB3">
      <w:pPr>
        <w:rPr>
          <w:b/>
          <w:bCs/>
        </w:rPr>
      </w:pPr>
      <w:r>
        <w:rPr>
          <w:b/>
          <w:bCs/>
          <w:i/>
          <w:iCs/>
        </w:rPr>
        <w:t>Радови (извештаји са истраживања) у националном часопису</w:t>
      </w:r>
      <w:r>
        <w:rPr>
          <w:b/>
          <w:bCs/>
        </w:rPr>
        <w:t xml:space="preserve"> (М53):</w:t>
      </w:r>
      <w:r w:rsidRPr="00D74B24">
        <w:rPr>
          <w:b/>
          <w:bCs/>
        </w:rPr>
        <w:t xml:space="preserve"> </w:t>
      </w:r>
    </w:p>
    <w:p w:rsidR="00A22EB9" w:rsidRPr="00D74B24" w:rsidRDefault="00A22EB9" w:rsidP="00A92EB3">
      <w:pPr>
        <w:ind w:left="1440"/>
      </w:pPr>
    </w:p>
    <w:p w:rsidR="00A22EB9" w:rsidRPr="00D74B24" w:rsidRDefault="00A22EB9" w:rsidP="00A92EB3">
      <w:pPr>
        <w:rPr>
          <w:lang w:val="sr-Latn-CS"/>
        </w:rPr>
      </w:pPr>
      <w:r w:rsidRPr="00153550">
        <w:rPr>
          <w:lang w:val="sr-Latn-CS"/>
        </w:rPr>
        <w:t>„</w:t>
      </w:r>
      <w:r w:rsidRPr="00C13F78">
        <w:rPr>
          <w:lang w:val="sr-Latn-CS"/>
        </w:rPr>
        <w:t>Истраживачки</w:t>
      </w:r>
      <w:r w:rsidRPr="00153550">
        <w:rPr>
          <w:lang w:val="sr-Latn-CS"/>
        </w:rPr>
        <w:t xml:space="preserve"> </w:t>
      </w:r>
      <w:r w:rsidRPr="00C13F78">
        <w:rPr>
          <w:lang w:val="sr-Latn-CS"/>
        </w:rPr>
        <w:t>пројекат</w:t>
      </w:r>
      <w:r w:rsidRPr="00153550">
        <w:rPr>
          <w:lang w:val="sr-Latn-CS"/>
        </w:rPr>
        <w:t xml:space="preserve"> </w:t>
      </w:r>
      <w:r w:rsidRPr="00C13F78">
        <w:rPr>
          <w:lang w:val="sr-Latn-CS"/>
        </w:rPr>
        <w:t>на</w:t>
      </w:r>
      <w:r w:rsidRPr="00153550">
        <w:rPr>
          <w:lang w:val="sr-Latn-CS"/>
        </w:rPr>
        <w:t xml:space="preserve"> </w:t>
      </w:r>
      <w:r w:rsidRPr="00C13F78">
        <w:rPr>
          <w:lang w:val="sr-Latn-CS"/>
        </w:rPr>
        <w:t>Меникејској</w:t>
      </w:r>
      <w:r w:rsidRPr="00153550">
        <w:rPr>
          <w:lang w:val="sr-Latn-CS"/>
        </w:rPr>
        <w:t xml:space="preserve"> </w:t>
      </w:r>
      <w:r w:rsidRPr="00C13F78">
        <w:rPr>
          <w:lang w:val="sr-Latn-CS"/>
        </w:rPr>
        <w:t>гори</w:t>
      </w:r>
      <w:r w:rsidRPr="00153550">
        <w:rPr>
          <w:lang w:val="sr-Latn-CS"/>
        </w:rPr>
        <w:t xml:space="preserve"> (Mount Menoikeion Research Project), </w:t>
      </w:r>
      <w:r w:rsidRPr="00C13F78">
        <w:rPr>
          <w:lang w:val="sr-Latn-CS"/>
        </w:rPr>
        <w:t>Манастир</w:t>
      </w:r>
      <w:r w:rsidRPr="00153550">
        <w:rPr>
          <w:lang w:val="sr-Latn-CS"/>
        </w:rPr>
        <w:t xml:space="preserve"> </w:t>
      </w:r>
      <w:r w:rsidRPr="00C13F78">
        <w:rPr>
          <w:lang w:val="sr-Latn-CS"/>
        </w:rPr>
        <w:t>св</w:t>
      </w:r>
      <w:r w:rsidRPr="00153550">
        <w:rPr>
          <w:lang w:val="sr-Latn-CS"/>
        </w:rPr>
        <w:t xml:space="preserve">. </w:t>
      </w:r>
      <w:r w:rsidRPr="00547104">
        <w:rPr>
          <w:lang w:val="sr-Latn-CS"/>
        </w:rPr>
        <w:t>Јована</w:t>
      </w:r>
      <w:r w:rsidRPr="00D74B24">
        <w:rPr>
          <w:lang w:val="sr-Latn-CS"/>
        </w:rPr>
        <w:t xml:space="preserve"> </w:t>
      </w:r>
      <w:r w:rsidRPr="00547104">
        <w:rPr>
          <w:lang w:val="sr-Latn-CS"/>
        </w:rPr>
        <w:t>Претече</w:t>
      </w:r>
      <w:r w:rsidRPr="00D74B24">
        <w:rPr>
          <w:lang w:val="sr-Latn-CS"/>
        </w:rPr>
        <w:t xml:space="preserve"> </w:t>
      </w:r>
      <w:r w:rsidRPr="00547104">
        <w:rPr>
          <w:lang w:val="sr-Latn-CS"/>
        </w:rPr>
        <w:t>код</w:t>
      </w:r>
      <w:r w:rsidRPr="00D74B24">
        <w:rPr>
          <w:lang w:val="sr-Latn-CS"/>
        </w:rPr>
        <w:t xml:space="preserve"> </w:t>
      </w:r>
      <w:r w:rsidRPr="00547104">
        <w:rPr>
          <w:lang w:val="sr-Latn-CS"/>
        </w:rPr>
        <w:t>Сера</w:t>
      </w:r>
      <w:r w:rsidRPr="00D74B24">
        <w:rPr>
          <w:lang w:val="sr-Latn-CS"/>
        </w:rPr>
        <w:t xml:space="preserve">, </w:t>
      </w:r>
      <w:r w:rsidRPr="00547104">
        <w:rPr>
          <w:lang w:val="sr-Latn-CS"/>
        </w:rPr>
        <w:t>Грчка</w:t>
      </w:r>
      <w:r w:rsidRPr="00D74B24">
        <w:rPr>
          <w:lang w:val="sr-Latn-CS"/>
        </w:rPr>
        <w:t xml:space="preserve">, 16. </w:t>
      </w:r>
      <w:r w:rsidRPr="00547104">
        <w:rPr>
          <w:lang w:val="sr-Latn-CS"/>
        </w:rPr>
        <w:t>јун</w:t>
      </w:r>
      <w:r w:rsidRPr="00D74B24">
        <w:rPr>
          <w:lang w:val="sr-Latn-CS"/>
        </w:rPr>
        <w:t xml:space="preserve"> – 1. </w:t>
      </w:r>
      <w:r w:rsidRPr="00547104">
        <w:rPr>
          <w:lang w:val="sr-Latn-CS"/>
        </w:rPr>
        <w:t>јул</w:t>
      </w:r>
      <w:r w:rsidRPr="00D74B24">
        <w:rPr>
          <w:lang w:val="sr-Latn-CS"/>
        </w:rPr>
        <w:t xml:space="preserve"> 2007. </w:t>
      </w:r>
      <w:r w:rsidRPr="00547104">
        <w:rPr>
          <w:lang w:val="sr-Latn-CS"/>
        </w:rPr>
        <w:t>године</w:t>
      </w:r>
      <w:r w:rsidRPr="00D74B24">
        <w:rPr>
          <w:lang w:val="sr-Latn-CS"/>
        </w:rPr>
        <w:t xml:space="preserve">“, </w:t>
      </w:r>
      <w:r w:rsidRPr="00547104">
        <w:rPr>
          <w:i/>
          <w:iCs/>
          <w:lang w:val="sr-Latn-CS"/>
        </w:rPr>
        <w:t>Гласник</w:t>
      </w:r>
      <w:r w:rsidRPr="00D74B24">
        <w:rPr>
          <w:i/>
          <w:iCs/>
          <w:lang w:val="sr-Latn-CS"/>
        </w:rPr>
        <w:t xml:space="preserve"> </w:t>
      </w:r>
      <w:r w:rsidRPr="00547104">
        <w:rPr>
          <w:i/>
          <w:iCs/>
          <w:lang w:val="sr-Latn-CS"/>
        </w:rPr>
        <w:t>Друштва</w:t>
      </w:r>
      <w:r w:rsidRPr="00D74B24">
        <w:rPr>
          <w:i/>
          <w:iCs/>
          <w:lang w:val="sr-Latn-CS"/>
        </w:rPr>
        <w:t xml:space="preserve"> </w:t>
      </w:r>
      <w:r w:rsidRPr="00547104">
        <w:rPr>
          <w:i/>
          <w:iCs/>
          <w:lang w:val="sr-Latn-CS"/>
        </w:rPr>
        <w:t>конзерватора</w:t>
      </w:r>
      <w:r w:rsidRPr="00D74B24">
        <w:rPr>
          <w:i/>
          <w:iCs/>
          <w:lang w:val="sr-Latn-CS"/>
        </w:rPr>
        <w:t xml:space="preserve"> </w:t>
      </w:r>
      <w:r w:rsidRPr="00547104">
        <w:rPr>
          <w:i/>
          <w:iCs/>
          <w:lang w:val="sr-Latn-CS"/>
        </w:rPr>
        <w:t>Србије</w:t>
      </w:r>
      <w:r>
        <w:rPr>
          <w:lang w:val="sr-Latn-CS"/>
        </w:rPr>
        <w:t xml:space="preserve"> 32 (2008)</w:t>
      </w:r>
      <w:r w:rsidRPr="006A1937">
        <w:rPr>
          <w:lang w:val="sr-Latn-CS"/>
        </w:rPr>
        <w:t>.</w:t>
      </w:r>
      <w:r w:rsidRPr="00D74B24">
        <w:rPr>
          <w:lang w:val="sr-Latn-CS"/>
        </w:rPr>
        <w:t xml:space="preserve"> </w:t>
      </w:r>
    </w:p>
    <w:p w:rsidR="00A22EB9" w:rsidRDefault="00A22EB9" w:rsidP="00A92EB3">
      <w:pPr>
        <w:ind w:firstLine="1440"/>
        <w:rPr>
          <w:lang w:val="sr-Latn-CS"/>
        </w:rPr>
      </w:pPr>
    </w:p>
    <w:p w:rsidR="00A22EB9" w:rsidRPr="00C13F78" w:rsidRDefault="00A22EB9" w:rsidP="00A92EB3">
      <w:pPr>
        <w:rPr>
          <w:lang w:val="sr-Latn-CS"/>
        </w:rPr>
      </w:pPr>
      <w:r w:rsidRPr="00D74B24">
        <w:rPr>
          <w:lang w:val="sr-Latn-CS"/>
        </w:rPr>
        <w:t>„</w:t>
      </w:r>
      <w:r w:rsidRPr="00C13F78">
        <w:rPr>
          <w:lang w:val="sr-Latn-CS"/>
        </w:rPr>
        <w:t>Остаци</w:t>
      </w:r>
      <w:r w:rsidRPr="00D74B24">
        <w:rPr>
          <w:lang w:val="sr-Latn-CS"/>
        </w:rPr>
        <w:t xml:space="preserve"> </w:t>
      </w:r>
      <w:r w:rsidRPr="00C13F78">
        <w:rPr>
          <w:lang w:val="sr-Latn-CS"/>
        </w:rPr>
        <w:t>цркве</w:t>
      </w:r>
      <w:r w:rsidRPr="00D74B24">
        <w:rPr>
          <w:lang w:val="sr-Latn-CS"/>
        </w:rPr>
        <w:t xml:space="preserve"> </w:t>
      </w:r>
      <w:r w:rsidRPr="00C13F78">
        <w:rPr>
          <w:lang w:val="sr-Latn-CS"/>
        </w:rPr>
        <w:t>на</w:t>
      </w:r>
      <w:r w:rsidRPr="00D74B24">
        <w:rPr>
          <w:lang w:val="sr-Latn-CS"/>
        </w:rPr>
        <w:t xml:space="preserve"> </w:t>
      </w:r>
      <w:r w:rsidRPr="00C13F78">
        <w:rPr>
          <w:lang w:val="sr-Latn-CS"/>
        </w:rPr>
        <w:t>локалитету</w:t>
      </w:r>
      <w:r w:rsidRPr="00D74B24">
        <w:rPr>
          <w:lang w:val="sr-Latn-CS"/>
        </w:rPr>
        <w:t xml:space="preserve"> </w:t>
      </w:r>
      <w:r w:rsidRPr="00C13F78">
        <w:rPr>
          <w:lang w:val="sr-Latn-CS"/>
        </w:rPr>
        <w:t>Манастириште</w:t>
      </w:r>
      <w:r w:rsidRPr="00D74B24">
        <w:rPr>
          <w:lang w:val="sr-Latn-CS"/>
        </w:rPr>
        <w:t xml:space="preserve"> </w:t>
      </w:r>
      <w:r w:rsidRPr="00C13F78">
        <w:rPr>
          <w:lang w:val="sr-Latn-CS"/>
        </w:rPr>
        <w:t>св</w:t>
      </w:r>
      <w:r w:rsidRPr="00D74B24">
        <w:rPr>
          <w:lang w:val="sr-Latn-CS"/>
        </w:rPr>
        <w:t xml:space="preserve">. </w:t>
      </w:r>
      <w:r w:rsidRPr="00C13F78">
        <w:rPr>
          <w:lang w:val="sr-Latn-CS"/>
        </w:rPr>
        <w:t>Петке</w:t>
      </w:r>
      <w:r w:rsidRPr="00D74B24">
        <w:rPr>
          <w:lang w:val="sr-Latn-CS"/>
        </w:rPr>
        <w:t xml:space="preserve"> </w:t>
      </w:r>
      <w:r w:rsidRPr="00C13F78">
        <w:rPr>
          <w:lang w:val="sr-Latn-CS"/>
        </w:rPr>
        <w:t>Русалне</w:t>
      </w:r>
      <w:r w:rsidRPr="00D74B24">
        <w:rPr>
          <w:lang w:val="sr-Latn-CS"/>
        </w:rPr>
        <w:t xml:space="preserve"> </w:t>
      </w:r>
      <w:r w:rsidRPr="00C13F78">
        <w:rPr>
          <w:lang w:val="sr-Latn-CS"/>
        </w:rPr>
        <w:t>код</w:t>
      </w:r>
      <w:r w:rsidRPr="00D74B24">
        <w:rPr>
          <w:lang w:val="sr-Latn-CS"/>
        </w:rPr>
        <w:t xml:space="preserve"> </w:t>
      </w:r>
      <w:r w:rsidRPr="00C13F78">
        <w:rPr>
          <w:lang w:val="sr-Latn-CS"/>
        </w:rPr>
        <w:t>Сврљига</w:t>
      </w:r>
      <w:r w:rsidRPr="00D74B24">
        <w:rPr>
          <w:lang w:val="sr-Latn-CS"/>
        </w:rPr>
        <w:t xml:space="preserve">: </w:t>
      </w:r>
      <w:r w:rsidRPr="00C13F78">
        <w:rPr>
          <w:lang w:val="sr-Latn-CS"/>
        </w:rPr>
        <w:t>Прелиминарни</w:t>
      </w:r>
      <w:r w:rsidRPr="00D74B24">
        <w:rPr>
          <w:lang w:val="sr-Latn-CS"/>
        </w:rPr>
        <w:t xml:space="preserve"> </w:t>
      </w:r>
      <w:r w:rsidRPr="00C13F78">
        <w:rPr>
          <w:lang w:val="sr-Latn-CS"/>
        </w:rPr>
        <w:t>извештај</w:t>
      </w:r>
      <w:r w:rsidRPr="00D74B24">
        <w:rPr>
          <w:lang w:val="sr-Latn-CS"/>
        </w:rPr>
        <w:t xml:space="preserve">“, </w:t>
      </w:r>
      <w:r w:rsidRPr="00C13F78">
        <w:rPr>
          <w:i/>
          <w:iCs/>
          <w:lang w:val="sr-Latn-CS"/>
        </w:rPr>
        <w:t>Гласник</w:t>
      </w:r>
      <w:r w:rsidRPr="00D74B24">
        <w:rPr>
          <w:i/>
          <w:iCs/>
          <w:lang w:val="sr-Latn-CS"/>
        </w:rPr>
        <w:t xml:space="preserve"> </w:t>
      </w:r>
      <w:r w:rsidRPr="00C13F78">
        <w:rPr>
          <w:i/>
          <w:iCs/>
          <w:lang w:val="sr-Latn-CS"/>
        </w:rPr>
        <w:t>Друштва</w:t>
      </w:r>
      <w:r w:rsidRPr="00D74B24">
        <w:rPr>
          <w:i/>
          <w:iCs/>
          <w:lang w:val="sr-Latn-CS"/>
        </w:rPr>
        <w:t xml:space="preserve"> </w:t>
      </w:r>
      <w:r w:rsidRPr="00C13F78">
        <w:rPr>
          <w:i/>
          <w:iCs/>
          <w:lang w:val="sr-Latn-CS"/>
        </w:rPr>
        <w:t>конзерватора</w:t>
      </w:r>
      <w:r w:rsidRPr="00D74B24">
        <w:rPr>
          <w:i/>
          <w:iCs/>
          <w:lang w:val="sr-Latn-CS"/>
        </w:rPr>
        <w:t xml:space="preserve"> </w:t>
      </w:r>
      <w:r w:rsidRPr="00C13F78">
        <w:rPr>
          <w:i/>
          <w:iCs/>
          <w:lang w:val="sr-Latn-CS"/>
        </w:rPr>
        <w:t>Србије</w:t>
      </w:r>
      <w:r w:rsidRPr="00D74B24">
        <w:rPr>
          <w:lang w:val="sr-Latn-CS"/>
        </w:rPr>
        <w:t xml:space="preserve"> 27 (2003):</w:t>
      </w:r>
      <w:r>
        <w:rPr>
          <w:lang w:val="sr-Latn-CS"/>
        </w:rPr>
        <w:t xml:space="preserve"> 84-86</w:t>
      </w:r>
      <w:r w:rsidRPr="00D74B24">
        <w:rPr>
          <w:lang w:val="sr-Latn-CS"/>
        </w:rPr>
        <w:t xml:space="preserve"> </w:t>
      </w:r>
    </w:p>
    <w:p w:rsidR="00A22EB9" w:rsidRPr="00C13F78" w:rsidRDefault="00A22EB9" w:rsidP="00A92EB3">
      <w:pPr>
        <w:rPr>
          <w:b/>
          <w:bCs/>
          <w:lang w:val="sr-Latn-CS"/>
        </w:rPr>
      </w:pPr>
      <w:r w:rsidRPr="00C13F78">
        <w:rPr>
          <w:b/>
          <w:bCs/>
          <w:lang w:val="sr-Latn-CS"/>
        </w:rPr>
        <w:t xml:space="preserve">2 х 1 поен = </w:t>
      </w:r>
      <w:r w:rsidRPr="00C13F78">
        <w:rPr>
          <w:b/>
          <w:bCs/>
          <w:u w:val="single"/>
          <w:lang w:val="sr-Latn-CS"/>
        </w:rPr>
        <w:t>2 поена</w:t>
      </w:r>
      <w:r w:rsidRPr="00C13F78">
        <w:rPr>
          <w:b/>
          <w:bCs/>
          <w:lang w:val="sr-Latn-CS"/>
        </w:rPr>
        <w:t xml:space="preserve"> </w:t>
      </w:r>
    </w:p>
    <w:p w:rsidR="00A22EB9" w:rsidRPr="00C13F78" w:rsidRDefault="00A22EB9" w:rsidP="00A92EB3">
      <w:pPr>
        <w:rPr>
          <w:lang w:val="sr-Latn-CS"/>
        </w:rPr>
      </w:pPr>
    </w:p>
    <w:p w:rsidR="00A22EB9" w:rsidRPr="00C13F78" w:rsidRDefault="00A22EB9" w:rsidP="00A92EB3">
      <w:pPr>
        <w:rPr>
          <w:lang w:val="sr-Latn-CS"/>
        </w:rPr>
      </w:pPr>
    </w:p>
    <w:p w:rsidR="00A22EB9" w:rsidRPr="00C13F78" w:rsidRDefault="00A22EB9" w:rsidP="00A92EB3">
      <w:pPr>
        <w:rPr>
          <w:b/>
          <w:bCs/>
          <w:lang w:val="sr-Latn-CS"/>
        </w:rPr>
      </w:pPr>
      <w:r w:rsidRPr="00C13F78">
        <w:rPr>
          <w:b/>
          <w:bCs/>
          <w:i/>
          <w:iCs/>
          <w:lang w:val="sr-Latn-CS"/>
        </w:rPr>
        <w:t>Саопштења с националних научних скупова штампано у изводу</w:t>
      </w:r>
      <w:r w:rsidRPr="00C13F78">
        <w:rPr>
          <w:b/>
          <w:bCs/>
          <w:lang w:val="sr-Latn-CS"/>
        </w:rPr>
        <w:t xml:space="preserve"> (М64): </w:t>
      </w:r>
    </w:p>
    <w:p w:rsidR="00A22EB9" w:rsidRPr="00C13F78" w:rsidRDefault="00A22EB9" w:rsidP="00A92EB3">
      <w:pPr>
        <w:ind w:left="1440"/>
        <w:rPr>
          <w:lang w:val="sr-Latn-CS"/>
        </w:rPr>
      </w:pPr>
    </w:p>
    <w:p w:rsidR="00A22EB9" w:rsidRPr="00950DA7" w:rsidRDefault="00A22EB9" w:rsidP="007B4E80">
      <w:r w:rsidRPr="00EC755A">
        <w:t>“</w:t>
      </w:r>
      <w:r w:rsidRPr="006E0729">
        <w:t xml:space="preserve">A Shift in Athonite </w:t>
      </w:r>
      <w:r>
        <w:t xml:space="preserve">Architecture: </w:t>
      </w:r>
      <w:r w:rsidRPr="006E0729">
        <w:t xml:space="preserve">The Narthex of Hilandar’s </w:t>
      </w:r>
      <w:r w:rsidRPr="006E0729">
        <w:rPr>
          <w:i/>
          <w:iCs/>
        </w:rPr>
        <w:t>Katholikon</w:t>
      </w:r>
      <w:r>
        <w:t xml:space="preserve">”, in </w:t>
      </w:r>
      <w:r w:rsidRPr="00EC755A">
        <w:rPr>
          <w:i/>
          <w:iCs/>
        </w:rPr>
        <w:t>Thirty-S</w:t>
      </w:r>
      <w:r>
        <w:rPr>
          <w:i/>
          <w:iCs/>
        </w:rPr>
        <w:t>ixth</w:t>
      </w:r>
      <w:r w:rsidRPr="00EC755A">
        <w:rPr>
          <w:i/>
          <w:iCs/>
        </w:rPr>
        <w:t xml:space="preserve"> Annual Byzantine Studies</w:t>
      </w:r>
      <w:r w:rsidRPr="00EC755A">
        <w:rPr>
          <w:i/>
          <w:iCs/>
          <w:lang w:val="sr-Cyrl-CS"/>
        </w:rPr>
        <w:t xml:space="preserve"> </w:t>
      </w:r>
      <w:r w:rsidRPr="00EC755A">
        <w:rPr>
          <w:i/>
          <w:iCs/>
        </w:rPr>
        <w:t xml:space="preserve">Conference, </w:t>
      </w:r>
      <w:r>
        <w:rPr>
          <w:i/>
          <w:iCs/>
        </w:rPr>
        <w:t>8-10 October 2010</w:t>
      </w:r>
      <w:r w:rsidRPr="00EC755A">
        <w:rPr>
          <w:i/>
          <w:iCs/>
        </w:rPr>
        <w:t>: Abstracts</w:t>
      </w:r>
      <w:r w:rsidRPr="00EC755A">
        <w:rPr>
          <w:lang w:val="sr-Cyrl-CS"/>
        </w:rPr>
        <w:t xml:space="preserve"> </w:t>
      </w:r>
      <w:r w:rsidRPr="00EC755A">
        <w:t>(</w:t>
      </w:r>
      <w:r>
        <w:t>Philadelphia PA, 2010</w:t>
      </w:r>
      <w:r w:rsidRPr="00EC755A">
        <w:t xml:space="preserve">): </w:t>
      </w:r>
      <w:r>
        <w:t xml:space="preserve">40-41 </w:t>
      </w:r>
    </w:p>
    <w:p w:rsidR="00A22EB9" w:rsidRDefault="00A22EB9" w:rsidP="007B4E80"/>
    <w:p w:rsidR="00A22EB9" w:rsidRDefault="00A22EB9" w:rsidP="007B4E80">
      <w:r w:rsidRPr="00925B57">
        <w:t xml:space="preserve"> “</w:t>
      </w:r>
      <w:r w:rsidRPr="00EC755A">
        <w:t>Middle</w:t>
      </w:r>
      <w:r w:rsidRPr="00925B57">
        <w:t xml:space="preserve">- </w:t>
      </w:r>
      <w:r w:rsidRPr="00EC755A">
        <w:t>and</w:t>
      </w:r>
      <w:r w:rsidRPr="00925B57">
        <w:t xml:space="preserve"> </w:t>
      </w:r>
      <w:r w:rsidRPr="00EC755A">
        <w:t>Late</w:t>
      </w:r>
      <w:r w:rsidRPr="00925B57">
        <w:t>-</w:t>
      </w:r>
      <w:r w:rsidRPr="00EC755A">
        <w:t>Byzantine</w:t>
      </w:r>
      <w:r w:rsidRPr="00925B57">
        <w:t xml:space="preserve"> </w:t>
      </w:r>
      <w:r w:rsidRPr="00EC755A">
        <w:t>Monastic</w:t>
      </w:r>
      <w:r w:rsidRPr="00925B57">
        <w:t xml:space="preserve"> </w:t>
      </w:r>
      <w:r w:rsidRPr="00EC755A">
        <w:t>Ossuaries</w:t>
      </w:r>
      <w:r w:rsidRPr="00925B57">
        <w:t xml:space="preserve">: </w:t>
      </w:r>
      <w:r w:rsidRPr="00EC755A">
        <w:t>Architecture</w:t>
      </w:r>
      <w:r w:rsidRPr="00925B57">
        <w:t xml:space="preserve">, </w:t>
      </w:r>
      <w:r w:rsidRPr="00EC755A">
        <w:t>L</w:t>
      </w:r>
      <w:r>
        <w:t>iturgical</w:t>
      </w:r>
      <w:r w:rsidRPr="00925B57">
        <w:t xml:space="preserve"> </w:t>
      </w:r>
      <w:r>
        <w:t>Function</w:t>
      </w:r>
      <w:r w:rsidRPr="00925B57">
        <w:t xml:space="preserve">, </w:t>
      </w:r>
      <w:r>
        <w:t>and</w:t>
      </w:r>
      <w:r w:rsidRPr="00925B57">
        <w:t xml:space="preserve"> </w:t>
      </w:r>
      <w:r>
        <w:t>Meaning</w:t>
      </w:r>
      <w:r w:rsidRPr="00925B57">
        <w:t>”</w:t>
      </w:r>
      <w:r>
        <w:t>,</w:t>
      </w:r>
      <w:r w:rsidRPr="00925B57">
        <w:t xml:space="preserve"> </w:t>
      </w:r>
      <w:r w:rsidRPr="00EC755A">
        <w:t>in</w:t>
      </w:r>
      <w:r w:rsidRPr="00925B57">
        <w:t xml:space="preserve"> </w:t>
      </w:r>
      <w:r w:rsidRPr="00EC755A">
        <w:rPr>
          <w:i/>
          <w:iCs/>
        </w:rPr>
        <w:t>Thirty</w:t>
      </w:r>
      <w:r w:rsidRPr="00925B57">
        <w:rPr>
          <w:i/>
          <w:iCs/>
        </w:rPr>
        <w:t>-</w:t>
      </w:r>
      <w:r w:rsidRPr="00EC755A">
        <w:rPr>
          <w:i/>
          <w:iCs/>
        </w:rPr>
        <w:t>Second</w:t>
      </w:r>
      <w:r w:rsidRPr="00925B57">
        <w:rPr>
          <w:i/>
          <w:iCs/>
        </w:rPr>
        <w:t xml:space="preserve"> </w:t>
      </w:r>
      <w:r w:rsidRPr="00EC755A">
        <w:rPr>
          <w:i/>
          <w:iCs/>
        </w:rPr>
        <w:t>Annual</w:t>
      </w:r>
      <w:r w:rsidRPr="00925B57">
        <w:rPr>
          <w:i/>
          <w:iCs/>
        </w:rPr>
        <w:t xml:space="preserve"> </w:t>
      </w:r>
      <w:r w:rsidRPr="00EC755A">
        <w:rPr>
          <w:i/>
          <w:iCs/>
        </w:rPr>
        <w:t>Byzantine</w:t>
      </w:r>
      <w:r w:rsidRPr="00925B57">
        <w:rPr>
          <w:i/>
          <w:iCs/>
        </w:rPr>
        <w:t xml:space="preserve"> </w:t>
      </w:r>
      <w:r w:rsidRPr="00EC755A">
        <w:rPr>
          <w:i/>
          <w:iCs/>
        </w:rPr>
        <w:t>Studies</w:t>
      </w:r>
      <w:r w:rsidRPr="00EC755A">
        <w:rPr>
          <w:i/>
          <w:iCs/>
          <w:lang w:val="sr-Cyrl-CS"/>
        </w:rPr>
        <w:t xml:space="preserve"> </w:t>
      </w:r>
      <w:r w:rsidRPr="00EC755A">
        <w:rPr>
          <w:i/>
          <w:iCs/>
        </w:rPr>
        <w:t>Conference</w:t>
      </w:r>
      <w:r w:rsidRPr="00925B57">
        <w:rPr>
          <w:i/>
          <w:iCs/>
        </w:rPr>
        <w:t xml:space="preserve">, </w:t>
      </w:r>
      <w:r w:rsidRPr="00EC755A">
        <w:rPr>
          <w:i/>
          <w:iCs/>
        </w:rPr>
        <w:t>November</w:t>
      </w:r>
      <w:r w:rsidRPr="00925B57">
        <w:rPr>
          <w:i/>
          <w:iCs/>
        </w:rPr>
        <w:t xml:space="preserve"> 10-12, 2006: </w:t>
      </w:r>
      <w:r w:rsidRPr="00EC755A">
        <w:rPr>
          <w:i/>
          <w:iCs/>
        </w:rPr>
        <w:t>Abstracts</w:t>
      </w:r>
      <w:r w:rsidRPr="00EC755A">
        <w:rPr>
          <w:lang w:val="sr-Cyrl-CS"/>
        </w:rPr>
        <w:t xml:space="preserve"> </w:t>
      </w:r>
      <w:r w:rsidRPr="00925B57">
        <w:t>(</w:t>
      </w:r>
      <w:r w:rsidRPr="00EC755A">
        <w:t>Saint</w:t>
      </w:r>
      <w:r w:rsidRPr="00925B57">
        <w:t xml:space="preserve"> </w:t>
      </w:r>
      <w:r w:rsidRPr="00EC755A">
        <w:t>Louis</w:t>
      </w:r>
      <w:r w:rsidRPr="00925B57">
        <w:t xml:space="preserve"> </w:t>
      </w:r>
      <w:r w:rsidRPr="00EC755A">
        <w:t>MO</w:t>
      </w:r>
      <w:r>
        <w:t xml:space="preserve">, 2006): 12-13 </w:t>
      </w:r>
    </w:p>
    <w:p w:rsidR="00A22EB9" w:rsidRPr="006240CC" w:rsidRDefault="00A22EB9" w:rsidP="007B4E80">
      <w:pPr>
        <w:rPr>
          <w:b/>
          <w:bCs/>
        </w:rPr>
      </w:pPr>
      <w:r w:rsidRPr="006240CC">
        <w:rPr>
          <w:b/>
          <w:bCs/>
        </w:rPr>
        <w:t xml:space="preserve">2 х 0,5 поена = </w:t>
      </w:r>
      <w:r w:rsidRPr="006240CC">
        <w:rPr>
          <w:b/>
          <w:bCs/>
          <w:u w:val="single"/>
        </w:rPr>
        <w:t>1 поен</w:t>
      </w:r>
      <w:r w:rsidRPr="006240CC">
        <w:rPr>
          <w:b/>
          <w:bCs/>
        </w:rPr>
        <w:t xml:space="preserve"> </w:t>
      </w:r>
    </w:p>
    <w:p w:rsidR="00A22EB9" w:rsidRPr="006240CC" w:rsidRDefault="00A22EB9" w:rsidP="00A92EB3"/>
    <w:p w:rsidR="00A22EB9" w:rsidRPr="006240CC" w:rsidRDefault="00A22EB9" w:rsidP="00A92EB3"/>
    <w:p w:rsidR="00A22EB9" w:rsidRPr="001E0598" w:rsidRDefault="00A22EB9" w:rsidP="00A92EB3">
      <w:pPr>
        <w:rPr>
          <w:b/>
          <w:bCs/>
          <w:i/>
          <w:iCs/>
          <w:lang w:val="sr-Latn-CS"/>
        </w:rPr>
      </w:pPr>
      <w:r>
        <w:rPr>
          <w:b/>
          <w:bCs/>
          <w:i/>
          <w:iCs/>
        </w:rPr>
        <w:t>Одбрањена д</w:t>
      </w:r>
      <w:r w:rsidRPr="006240CC">
        <w:rPr>
          <w:b/>
          <w:bCs/>
          <w:i/>
          <w:iCs/>
        </w:rPr>
        <w:t>окторска</w:t>
      </w:r>
      <w:r w:rsidRPr="001E0598">
        <w:rPr>
          <w:b/>
          <w:bCs/>
          <w:i/>
          <w:iCs/>
          <w:lang w:val="sr-Latn-CS"/>
        </w:rPr>
        <w:t xml:space="preserve"> </w:t>
      </w:r>
      <w:r w:rsidRPr="006240CC">
        <w:rPr>
          <w:b/>
          <w:bCs/>
          <w:i/>
          <w:iCs/>
        </w:rPr>
        <w:t>дисертација</w:t>
      </w:r>
      <w:r w:rsidRPr="001E0598">
        <w:rPr>
          <w:b/>
          <w:bCs/>
          <w:lang w:val="sr-Latn-CS"/>
        </w:rPr>
        <w:t xml:space="preserve"> (</w:t>
      </w:r>
      <w:r w:rsidRPr="006240CC">
        <w:rPr>
          <w:b/>
          <w:bCs/>
        </w:rPr>
        <w:t>М</w:t>
      </w:r>
      <w:r w:rsidRPr="001E0598">
        <w:rPr>
          <w:b/>
          <w:bCs/>
          <w:lang w:val="sr-Latn-CS"/>
        </w:rPr>
        <w:t xml:space="preserve">70): </w:t>
      </w:r>
    </w:p>
    <w:p w:rsidR="00A22EB9" w:rsidRPr="0011463A" w:rsidRDefault="00A22EB9" w:rsidP="00A92EB3">
      <w:pPr>
        <w:ind w:left="1440"/>
        <w:rPr>
          <w:lang w:val="sr-Latn-CS"/>
        </w:rPr>
      </w:pPr>
    </w:p>
    <w:p w:rsidR="00A22EB9" w:rsidRPr="001E0598" w:rsidRDefault="00A22EB9" w:rsidP="007B4E80">
      <w:pPr>
        <w:rPr>
          <w:lang w:val="sr-Latn-CS"/>
        </w:rPr>
      </w:pPr>
      <w:r w:rsidRPr="001E0598">
        <w:rPr>
          <w:lang w:val="sr-Latn-CS"/>
        </w:rPr>
        <w:t>“</w:t>
      </w:r>
      <w:r w:rsidRPr="00FC38DB">
        <w:rPr>
          <w:lang w:val="sr-Latn-CS"/>
        </w:rPr>
        <w:t>At</w:t>
      </w:r>
      <w:r w:rsidRPr="001E0598">
        <w:rPr>
          <w:lang w:val="sr-Latn-CS"/>
        </w:rPr>
        <w:t xml:space="preserve"> </w:t>
      </w:r>
      <w:r w:rsidRPr="00FC38DB">
        <w:rPr>
          <w:lang w:val="sr-Latn-CS"/>
        </w:rPr>
        <w:t>the</w:t>
      </w:r>
      <w:r w:rsidRPr="001E0598">
        <w:rPr>
          <w:lang w:val="sr-Latn-CS"/>
        </w:rPr>
        <w:t xml:space="preserve"> </w:t>
      </w:r>
      <w:r w:rsidRPr="00FC38DB">
        <w:rPr>
          <w:lang w:val="sr-Latn-CS"/>
        </w:rPr>
        <w:t>Threshold</w:t>
      </w:r>
      <w:r w:rsidRPr="001E0598">
        <w:rPr>
          <w:lang w:val="sr-Latn-CS"/>
        </w:rPr>
        <w:t xml:space="preserve"> </w:t>
      </w:r>
      <w:r w:rsidRPr="00FC38DB">
        <w:rPr>
          <w:lang w:val="sr-Latn-CS"/>
        </w:rPr>
        <w:t>of</w:t>
      </w:r>
      <w:r w:rsidRPr="001E0598">
        <w:rPr>
          <w:lang w:val="sr-Latn-CS"/>
        </w:rPr>
        <w:t xml:space="preserve"> </w:t>
      </w:r>
      <w:r w:rsidRPr="00FC38DB">
        <w:rPr>
          <w:lang w:val="sr-Latn-CS"/>
        </w:rPr>
        <w:t>the</w:t>
      </w:r>
      <w:r w:rsidRPr="001E0598">
        <w:rPr>
          <w:lang w:val="sr-Latn-CS"/>
        </w:rPr>
        <w:t xml:space="preserve"> </w:t>
      </w:r>
      <w:r w:rsidRPr="00FC38DB">
        <w:rPr>
          <w:lang w:val="sr-Latn-CS"/>
        </w:rPr>
        <w:t>Heavens</w:t>
      </w:r>
      <w:r w:rsidRPr="001E0598">
        <w:rPr>
          <w:lang w:val="sr-Latn-CS"/>
        </w:rPr>
        <w:t xml:space="preserve">: </w:t>
      </w:r>
      <w:r w:rsidRPr="00FC38DB">
        <w:rPr>
          <w:lang w:val="sr-Latn-CS"/>
        </w:rPr>
        <w:t>The</w:t>
      </w:r>
      <w:r w:rsidRPr="001E0598">
        <w:rPr>
          <w:lang w:val="sr-Latn-CS"/>
        </w:rPr>
        <w:t xml:space="preserve"> </w:t>
      </w:r>
      <w:r w:rsidRPr="00FC38DB">
        <w:rPr>
          <w:lang w:val="sr-Latn-CS"/>
        </w:rPr>
        <w:t>Narthex</w:t>
      </w:r>
      <w:r w:rsidRPr="001E0598">
        <w:rPr>
          <w:lang w:val="sr-Latn-CS"/>
        </w:rPr>
        <w:t xml:space="preserve"> </w:t>
      </w:r>
      <w:r w:rsidRPr="00FC38DB">
        <w:rPr>
          <w:lang w:val="sr-Latn-CS"/>
        </w:rPr>
        <w:t>and</w:t>
      </w:r>
      <w:r w:rsidRPr="001E0598">
        <w:rPr>
          <w:lang w:val="sr-Latn-CS"/>
        </w:rPr>
        <w:t xml:space="preserve"> </w:t>
      </w:r>
      <w:r w:rsidRPr="00FC38DB">
        <w:rPr>
          <w:lang w:val="sr-Latn-CS"/>
        </w:rPr>
        <w:t>Adjacent</w:t>
      </w:r>
      <w:r w:rsidRPr="001E0598">
        <w:rPr>
          <w:lang w:val="sr-Latn-CS"/>
        </w:rPr>
        <w:t xml:space="preserve"> </w:t>
      </w:r>
      <w:r w:rsidRPr="00FC38DB">
        <w:rPr>
          <w:lang w:val="sr-Latn-CS"/>
        </w:rPr>
        <w:t>Spaces</w:t>
      </w:r>
      <w:r w:rsidRPr="001E0598">
        <w:rPr>
          <w:lang w:val="sr-Latn-CS"/>
        </w:rPr>
        <w:t xml:space="preserve"> </w:t>
      </w:r>
      <w:r w:rsidRPr="00FC38DB">
        <w:rPr>
          <w:lang w:val="sr-Latn-CS"/>
        </w:rPr>
        <w:t>in</w:t>
      </w:r>
      <w:r w:rsidRPr="001E0598">
        <w:rPr>
          <w:lang w:val="sr-Latn-CS"/>
        </w:rPr>
        <w:t xml:space="preserve"> </w:t>
      </w:r>
      <w:r w:rsidRPr="00FC38DB">
        <w:rPr>
          <w:lang w:val="sr-Latn-CS"/>
        </w:rPr>
        <w:t>Middle</w:t>
      </w:r>
      <w:r w:rsidRPr="001E0598">
        <w:rPr>
          <w:lang w:val="sr-Latn-CS"/>
        </w:rPr>
        <w:t xml:space="preserve"> </w:t>
      </w:r>
      <w:r w:rsidRPr="00FC38DB">
        <w:rPr>
          <w:lang w:val="sr-Latn-CS"/>
        </w:rPr>
        <w:t>Byzantine</w:t>
      </w:r>
      <w:r w:rsidRPr="001E0598">
        <w:rPr>
          <w:lang w:val="sr-Latn-CS"/>
        </w:rPr>
        <w:t xml:space="preserve"> </w:t>
      </w:r>
      <w:r w:rsidRPr="00FC38DB">
        <w:rPr>
          <w:lang w:val="sr-Latn-CS"/>
        </w:rPr>
        <w:t>Churches</w:t>
      </w:r>
      <w:r w:rsidRPr="001E0598">
        <w:rPr>
          <w:lang w:val="sr-Latn-CS"/>
        </w:rPr>
        <w:t xml:space="preserve"> </w:t>
      </w:r>
      <w:r w:rsidRPr="00FC38DB">
        <w:rPr>
          <w:lang w:val="sr-Latn-CS"/>
        </w:rPr>
        <w:t>of</w:t>
      </w:r>
      <w:r w:rsidRPr="001E0598">
        <w:rPr>
          <w:lang w:val="sr-Latn-CS"/>
        </w:rPr>
        <w:t xml:space="preserve"> </w:t>
      </w:r>
      <w:r w:rsidRPr="00FC38DB">
        <w:rPr>
          <w:lang w:val="sr-Latn-CS"/>
        </w:rPr>
        <w:t>Mount</w:t>
      </w:r>
      <w:r w:rsidRPr="001E0598">
        <w:rPr>
          <w:lang w:val="sr-Latn-CS"/>
        </w:rPr>
        <w:t xml:space="preserve"> </w:t>
      </w:r>
      <w:r w:rsidRPr="00FC38DB">
        <w:rPr>
          <w:lang w:val="sr-Latn-CS"/>
        </w:rPr>
        <w:t>Athos</w:t>
      </w:r>
      <w:r w:rsidRPr="001E0598">
        <w:rPr>
          <w:lang w:val="sr-Latn-CS"/>
        </w:rPr>
        <w:t xml:space="preserve"> (10</w:t>
      </w:r>
      <w:r w:rsidRPr="00FC38DB">
        <w:rPr>
          <w:vertAlign w:val="superscript"/>
          <w:lang w:val="sr-Latn-CS"/>
        </w:rPr>
        <w:t>th</w:t>
      </w:r>
      <w:r w:rsidRPr="001E0598">
        <w:rPr>
          <w:lang w:val="sr-Latn-CS"/>
        </w:rPr>
        <w:t>-11</w:t>
      </w:r>
      <w:r w:rsidRPr="00FC38DB">
        <w:rPr>
          <w:vertAlign w:val="superscript"/>
          <w:lang w:val="sr-Latn-CS"/>
        </w:rPr>
        <w:t>th</w:t>
      </w:r>
      <w:r w:rsidRPr="001E0598">
        <w:rPr>
          <w:lang w:val="sr-Latn-CS"/>
        </w:rPr>
        <w:t xml:space="preserve"> </w:t>
      </w:r>
      <w:r w:rsidRPr="00FC38DB">
        <w:rPr>
          <w:lang w:val="sr-Latn-CS"/>
        </w:rPr>
        <w:t>Centuries</w:t>
      </w:r>
      <w:r w:rsidRPr="001E0598">
        <w:rPr>
          <w:lang w:val="sr-Latn-CS"/>
        </w:rPr>
        <w:t xml:space="preserve">) – </w:t>
      </w:r>
      <w:r w:rsidRPr="00FC38DB">
        <w:rPr>
          <w:lang w:val="sr-Latn-CS"/>
        </w:rPr>
        <w:t>Architecture</w:t>
      </w:r>
      <w:r w:rsidRPr="001E0598">
        <w:rPr>
          <w:lang w:val="sr-Latn-CS"/>
        </w:rPr>
        <w:t xml:space="preserve">, </w:t>
      </w:r>
      <w:r w:rsidRPr="00FC38DB">
        <w:rPr>
          <w:lang w:val="sr-Latn-CS"/>
        </w:rPr>
        <w:t>Function</w:t>
      </w:r>
      <w:r w:rsidRPr="001E0598">
        <w:rPr>
          <w:lang w:val="sr-Latn-CS"/>
        </w:rPr>
        <w:t xml:space="preserve">, </w:t>
      </w:r>
      <w:r w:rsidRPr="00FC38DB">
        <w:rPr>
          <w:lang w:val="sr-Latn-CS"/>
        </w:rPr>
        <w:t>and</w:t>
      </w:r>
      <w:r w:rsidRPr="001E0598">
        <w:rPr>
          <w:lang w:val="sr-Latn-CS"/>
        </w:rPr>
        <w:t xml:space="preserve"> </w:t>
      </w:r>
      <w:r w:rsidRPr="00FC38DB">
        <w:rPr>
          <w:lang w:val="sr-Latn-CS"/>
        </w:rPr>
        <w:t>Meaning</w:t>
      </w:r>
      <w:r w:rsidRPr="001E0598">
        <w:rPr>
          <w:lang w:val="sr-Latn-CS"/>
        </w:rPr>
        <w:t xml:space="preserve">”, </w:t>
      </w:r>
      <w:r w:rsidRPr="00FC38DB">
        <w:rPr>
          <w:lang w:val="sr-Latn-CS"/>
        </w:rPr>
        <w:t>Princeton</w:t>
      </w:r>
      <w:r w:rsidRPr="001E0598">
        <w:rPr>
          <w:lang w:val="sr-Latn-CS"/>
        </w:rPr>
        <w:t xml:space="preserve"> </w:t>
      </w:r>
      <w:r w:rsidRPr="00FC38DB">
        <w:rPr>
          <w:lang w:val="sr-Latn-CS"/>
        </w:rPr>
        <w:t>University</w:t>
      </w:r>
      <w:r w:rsidRPr="001E0598">
        <w:rPr>
          <w:lang w:val="sr-Latn-CS"/>
        </w:rPr>
        <w:t xml:space="preserve">, </w:t>
      </w:r>
      <w:r w:rsidRPr="00FC38DB">
        <w:rPr>
          <w:lang w:val="sr-Latn-CS"/>
        </w:rPr>
        <w:t>Princeton</w:t>
      </w:r>
      <w:r w:rsidRPr="001E0598">
        <w:rPr>
          <w:lang w:val="sr-Latn-CS"/>
        </w:rPr>
        <w:t xml:space="preserve">, </w:t>
      </w:r>
      <w:r w:rsidRPr="00FC38DB">
        <w:rPr>
          <w:lang w:val="sr-Latn-CS"/>
        </w:rPr>
        <w:t>New</w:t>
      </w:r>
      <w:r>
        <w:t xml:space="preserve"> </w:t>
      </w:r>
      <w:r w:rsidRPr="00FC38DB">
        <w:rPr>
          <w:lang w:val="sr-Latn-CS"/>
        </w:rPr>
        <w:t>Jersey</w:t>
      </w:r>
      <w:r w:rsidRPr="001E0598">
        <w:rPr>
          <w:lang w:val="sr-Latn-CS"/>
        </w:rPr>
        <w:t xml:space="preserve"> (</w:t>
      </w:r>
      <w:r w:rsidRPr="00FC38DB">
        <w:rPr>
          <w:lang w:val="sr-Latn-CS"/>
        </w:rPr>
        <w:t>USA</w:t>
      </w:r>
      <w:r w:rsidRPr="001E0598">
        <w:rPr>
          <w:lang w:val="sr-Latn-CS"/>
        </w:rPr>
        <w:t xml:space="preserve">), </w:t>
      </w:r>
      <w:r w:rsidRPr="00FC38DB">
        <w:rPr>
          <w:lang w:val="sr-Latn-CS"/>
        </w:rPr>
        <w:t>lxxvi</w:t>
      </w:r>
      <w:r w:rsidRPr="001E0598">
        <w:rPr>
          <w:lang w:val="sr-Latn-CS"/>
        </w:rPr>
        <w:t xml:space="preserve">+808 </w:t>
      </w:r>
      <w:r w:rsidRPr="00547104">
        <w:rPr>
          <w:lang w:val="sr-Latn-CS"/>
        </w:rPr>
        <w:t>страна</w:t>
      </w:r>
      <w:r w:rsidRPr="0011463A">
        <w:rPr>
          <w:lang w:val="sr-Latn-CS"/>
        </w:rPr>
        <w:t xml:space="preserve"> </w:t>
      </w:r>
      <w:r w:rsidRPr="001E0598">
        <w:rPr>
          <w:lang w:val="sr-Latn-CS"/>
        </w:rPr>
        <w:t xml:space="preserve">– </w:t>
      </w:r>
      <w:r w:rsidRPr="00547104">
        <w:rPr>
          <w:lang w:val="sr-Latn-CS"/>
        </w:rPr>
        <w:t>одбрањена</w:t>
      </w:r>
      <w:r w:rsidRPr="001E0598">
        <w:rPr>
          <w:lang w:val="sr-Latn-CS"/>
        </w:rPr>
        <w:t xml:space="preserve"> 5. </w:t>
      </w:r>
      <w:r w:rsidRPr="00547104">
        <w:rPr>
          <w:lang w:val="sr-Latn-CS"/>
        </w:rPr>
        <w:t>маја</w:t>
      </w:r>
      <w:r w:rsidRPr="001E0598">
        <w:rPr>
          <w:lang w:val="sr-Latn-CS"/>
        </w:rPr>
        <w:t xml:space="preserve"> 2017; </w:t>
      </w:r>
      <w:r w:rsidRPr="00547104">
        <w:rPr>
          <w:lang w:val="sr-Latn-CS"/>
        </w:rPr>
        <w:t>званично</w:t>
      </w:r>
      <w:r w:rsidRPr="001E0598">
        <w:rPr>
          <w:lang w:val="sr-Latn-CS"/>
        </w:rPr>
        <w:t xml:space="preserve"> </w:t>
      </w:r>
      <w:r w:rsidRPr="00547104">
        <w:rPr>
          <w:lang w:val="sr-Latn-CS"/>
        </w:rPr>
        <w:t>учињена</w:t>
      </w:r>
      <w:r w:rsidRPr="001E0598">
        <w:rPr>
          <w:lang w:val="sr-Latn-CS"/>
        </w:rPr>
        <w:t xml:space="preserve"> </w:t>
      </w:r>
      <w:r w:rsidRPr="00547104">
        <w:rPr>
          <w:lang w:val="sr-Latn-CS"/>
        </w:rPr>
        <w:t>јавном</w:t>
      </w:r>
      <w:r w:rsidRPr="001E0598">
        <w:rPr>
          <w:lang w:val="sr-Latn-CS"/>
        </w:rPr>
        <w:t xml:space="preserve"> </w:t>
      </w:r>
      <w:r w:rsidRPr="00547104">
        <w:rPr>
          <w:lang w:val="sr-Latn-CS"/>
        </w:rPr>
        <w:t>јуна</w:t>
      </w:r>
      <w:r w:rsidRPr="001E0598">
        <w:rPr>
          <w:lang w:val="sr-Latn-CS"/>
        </w:rPr>
        <w:t xml:space="preserve"> 2017. </w:t>
      </w:r>
      <w:r w:rsidRPr="00547104">
        <w:rPr>
          <w:lang w:val="sr-Latn-CS"/>
        </w:rPr>
        <w:t>године</w:t>
      </w:r>
      <w:r w:rsidRPr="001E0598">
        <w:rPr>
          <w:lang w:val="sr-Latn-CS"/>
        </w:rPr>
        <w:t xml:space="preserve"> – </w:t>
      </w:r>
      <w:hyperlink r:id="rId11" w:history="1">
        <w:r w:rsidRPr="001E5C08">
          <w:rPr>
            <w:rStyle w:val="Hyperlink"/>
            <w:sz w:val="22"/>
            <w:szCs w:val="22"/>
            <w:lang w:val="sr-Latn-CS"/>
          </w:rPr>
          <w:t>https://catalog.princeton.edu/catalog/10431173</w:t>
        </w:r>
      </w:hyperlink>
      <w:r w:rsidRPr="001E0598">
        <w:rPr>
          <w:lang w:val="sr-Latn-CS"/>
        </w:rPr>
        <w:t xml:space="preserve"> </w:t>
      </w:r>
    </w:p>
    <w:p w:rsidR="00A22EB9" w:rsidRPr="00A92EB3" w:rsidRDefault="00A22EB9" w:rsidP="007B4E80">
      <w:pPr>
        <w:rPr>
          <w:b/>
          <w:bCs/>
          <w:u w:val="single"/>
          <w:lang w:val="sr-Latn-CS"/>
        </w:rPr>
      </w:pPr>
      <w:r w:rsidRPr="00A92EB3">
        <w:rPr>
          <w:b/>
          <w:bCs/>
          <w:u w:val="single"/>
          <w:lang w:val="sr-Latn-CS"/>
        </w:rPr>
        <w:t xml:space="preserve">6 поена </w:t>
      </w:r>
    </w:p>
    <w:p w:rsidR="00A22EB9" w:rsidRPr="00A92EB3" w:rsidRDefault="00A22EB9" w:rsidP="00A92EB3">
      <w:pPr>
        <w:rPr>
          <w:lang w:val="sr-Latn-CS"/>
        </w:rPr>
      </w:pPr>
    </w:p>
    <w:p w:rsidR="00A22EB9" w:rsidRPr="0011463A" w:rsidRDefault="00A22EB9" w:rsidP="00A92EB3">
      <w:pPr>
        <w:rPr>
          <w:lang w:val="sr-Latn-CS"/>
        </w:rPr>
      </w:pPr>
    </w:p>
    <w:p w:rsidR="00A22EB9" w:rsidRPr="00390CAD" w:rsidRDefault="00A22EB9" w:rsidP="00A92EB3">
      <w:pPr>
        <w:rPr>
          <w:b/>
          <w:bCs/>
          <w:lang w:val="sr-Latn-CS"/>
        </w:rPr>
      </w:pPr>
      <w:r w:rsidRPr="00A92EB3">
        <w:rPr>
          <w:b/>
          <w:bCs/>
          <w:i/>
          <w:iCs/>
          <w:lang w:val="sr-Latn-CS"/>
        </w:rPr>
        <w:t>Прегледни</w:t>
      </w:r>
      <w:r w:rsidRPr="00390CAD">
        <w:rPr>
          <w:b/>
          <w:bCs/>
          <w:i/>
          <w:iCs/>
          <w:lang w:val="sr-Latn-CS"/>
        </w:rPr>
        <w:t xml:space="preserve"> </w:t>
      </w:r>
      <w:r w:rsidRPr="00A92EB3">
        <w:rPr>
          <w:b/>
          <w:bCs/>
          <w:i/>
          <w:iCs/>
          <w:lang w:val="sr-Latn-CS"/>
        </w:rPr>
        <w:t>чланак</w:t>
      </w:r>
      <w:r w:rsidRPr="00A92EB3">
        <w:rPr>
          <w:b/>
          <w:bCs/>
          <w:lang w:val="sr-Latn-CS"/>
        </w:rPr>
        <w:t xml:space="preserve"> (некатегоризовано):</w:t>
      </w:r>
      <w:r w:rsidRPr="00390CAD">
        <w:rPr>
          <w:b/>
          <w:bCs/>
          <w:lang w:val="sr-Latn-CS"/>
        </w:rPr>
        <w:t xml:space="preserve"> </w:t>
      </w:r>
    </w:p>
    <w:p w:rsidR="00A22EB9" w:rsidRPr="00390CAD" w:rsidRDefault="00A22EB9" w:rsidP="00A92EB3">
      <w:pPr>
        <w:ind w:left="1440"/>
        <w:rPr>
          <w:lang w:val="sr-Latn-CS"/>
        </w:rPr>
      </w:pPr>
    </w:p>
    <w:p w:rsidR="00A22EB9" w:rsidRPr="00D74B24" w:rsidRDefault="00A22EB9" w:rsidP="007B4E80">
      <w:pPr>
        <w:rPr>
          <w:lang w:val="sr-Latn-CS"/>
        </w:rPr>
      </w:pPr>
      <w:r w:rsidRPr="00D74B24">
        <w:rPr>
          <w:lang w:val="sr-Latn-CS"/>
        </w:rPr>
        <w:t>„</w:t>
      </w:r>
      <w:r w:rsidRPr="00A92EB3">
        <w:rPr>
          <w:lang w:val="sr-Latn-CS"/>
        </w:rPr>
        <w:t>Насеље</w:t>
      </w:r>
      <w:r w:rsidRPr="00D74B24">
        <w:rPr>
          <w:lang w:val="sr-Latn-CS"/>
        </w:rPr>
        <w:t xml:space="preserve"> </w:t>
      </w:r>
      <w:r w:rsidRPr="00A92EB3">
        <w:rPr>
          <w:lang w:val="sr-Latn-CS"/>
        </w:rPr>
        <w:t>у</w:t>
      </w:r>
      <w:r w:rsidRPr="00D74B24">
        <w:rPr>
          <w:lang w:val="sr-Latn-CS"/>
        </w:rPr>
        <w:t xml:space="preserve"> </w:t>
      </w:r>
      <w:r w:rsidRPr="00A92EB3">
        <w:rPr>
          <w:lang w:val="sr-Latn-CS"/>
        </w:rPr>
        <w:t>Перивоју</w:t>
      </w:r>
      <w:r w:rsidRPr="00D74B24">
        <w:rPr>
          <w:lang w:val="sr-Latn-CS"/>
        </w:rPr>
        <w:t xml:space="preserve"> </w:t>
      </w:r>
      <w:r w:rsidRPr="00A92EB3">
        <w:rPr>
          <w:lang w:val="sr-Latn-CS"/>
        </w:rPr>
        <w:t>Богородичином</w:t>
      </w:r>
      <w:r w:rsidRPr="00D74B24">
        <w:rPr>
          <w:lang w:val="sr-Latn-CS"/>
        </w:rPr>
        <w:t xml:space="preserve">: </w:t>
      </w:r>
      <w:r w:rsidRPr="00A92EB3">
        <w:rPr>
          <w:lang w:val="sr-Latn-CS"/>
        </w:rPr>
        <w:t>Светогорски</w:t>
      </w:r>
      <w:r w:rsidRPr="00D74B24">
        <w:rPr>
          <w:lang w:val="sr-Latn-CS"/>
        </w:rPr>
        <w:t xml:space="preserve"> </w:t>
      </w:r>
      <w:r w:rsidRPr="00A92EB3">
        <w:rPr>
          <w:lang w:val="sr-Latn-CS"/>
        </w:rPr>
        <w:t>простор</w:t>
      </w:r>
      <w:r w:rsidRPr="00D74B24">
        <w:rPr>
          <w:lang w:val="sr-Latn-CS"/>
        </w:rPr>
        <w:t xml:space="preserve"> </w:t>
      </w:r>
      <w:r w:rsidRPr="00A92EB3">
        <w:rPr>
          <w:lang w:val="sr-Latn-CS"/>
        </w:rPr>
        <w:t>и</w:t>
      </w:r>
      <w:r w:rsidRPr="00D74B24">
        <w:rPr>
          <w:lang w:val="sr-Latn-CS"/>
        </w:rPr>
        <w:t xml:space="preserve"> </w:t>
      </w:r>
      <w:r w:rsidRPr="00A92EB3">
        <w:rPr>
          <w:lang w:val="sr-Latn-CS"/>
        </w:rPr>
        <w:t>архитектура</w:t>
      </w:r>
      <w:r w:rsidRPr="00D74B24">
        <w:rPr>
          <w:lang w:val="sr-Latn-CS"/>
        </w:rPr>
        <w:t xml:space="preserve"> </w:t>
      </w:r>
      <w:r w:rsidRPr="00A92EB3">
        <w:rPr>
          <w:lang w:val="sr-Latn-CS"/>
        </w:rPr>
        <w:t>у</w:t>
      </w:r>
      <w:r w:rsidRPr="00D74B24">
        <w:rPr>
          <w:lang w:val="sr-Latn-CS"/>
        </w:rPr>
        <w:t xml:space="preserve"> </w:t>
      </w:r>
      <w:r w:rsidRPr="00A92EB3">
        <w:rPr>
          <w:lang w:val="sr-Latn-CS"/>
        </w:rPr>
        <w:t>односу</w:t>
      </w:r>
      <w:r w:rsidRPr="00D74B24">
        <w:rPr>
          <w:lang w:val="sr-Latn-CS"/>
        </w:rPr>
        <w:t xml:space="preserve"> </w:t>
      </w:r>
      <w:r w:rsidRPr="00A92EB3">
        <w:rPr>
          <w:lang w:val="sr-Latn-CS"/>
        </w:rPr>
        <w:t>на</w:t>
      </w:r>
      <w:r w:rsidRPr="00D74B24">
        <w:rPr>
          <w:lang w:val="sr-Latn-CS"/>
        </w:rPr>
        <w:t xml:space="preserve"> </w:t>
      </w:r>
      <w:r w:rsidRPr="00A92EB3">
        <w:rPr>
          <w:lang w:val="sr-Latn-CS"/>
        </w:rPr>
        <w:t>живот</w:t>
      </w:r>
      <w:r w:rsidRPr="00D74B24">
        <w:rPr>
          <w:lang w:val="sr-Latn-CS"/>
        </w:rPr>
        <w:t xml:space="preserve">, </w:t>
      </w:r>
      <w:r w:rsidRPr="00A92EB3">
        <w:rPr>
          <w:lang w:val="sr-Latn-CS"/>
        </w:rPr>
        <w:t>обичаје</w:t>
      </w:r>
      <w:r w:rsidRPr="00D74B24">
        <w:rPr>
          <w:lang w:val="sr-Latn-CS"/>
        </w:rPr>
        <w:t xml:space="preserve"> </w:t>
      </w:r>
      <w:r w:rsidRPr="00A92EB3">
        <w:rPr>
          <w:lang w:val="sr-Latn-CS"/>
        </w:rPr>
        <w:t>и</w:t>
      </w:r>
      <w:r w:rsidRPr="00D74B24">
        <w:rPr>
          <w:lang w:val="sr-Latn-CS"/>
        </w:rPr>
        <w:t xml:space="preserve"> </w:t>
      </w:r>
      <w:r w:rsidRPr="00A92EB3">
        <w:rPr>
          <w:lang w:val="sr-Latn-CS"/>
        </w:rPr>
        <w:t>веру</w:t>
      </w:r>
      <w:r w:rsidRPr="00D74B24">
        <w:rPr>
          <w:lang w:val="sr-Latn-CS"/>
        </w:rPr>
        <w:t xml:space="preserve">“, </w:t>
      </w:r>
      <w:r w:rsidRPr="00A92EB3">
        <w:rPr>
          <w:lang w:val="sr-Latn-CS"/>
        </w:rPr>
        <w:t>часопис</w:t>
      </w:r>
      <w:r w:rsidRPr="00D74B24">
        <w:rPr>
          <w:lang w:val="sr-Latn-CS"/>
        </w:rPr>
        <w:t xml:space="preserve"> </w:t>
      </w:r>
      <w:r w:rsidRPr="00A92EB3">
        <w:rPr>
          <w:i/>
          <w:iCs/>
          <w:lang w:val="sr-Latn-CS"/>
        </w:rPr>
        <w:t>Слово</w:t>
      </w:r>
      <w:r w:rsidRPr="00D74B24">
        <w:rPr>
          <w:i/>
          <w:iCs/>
          <w:lang w:val="sr-Latn-CS"/>
        </w:rPr>
        <w:t>-</w:t>
      </w:r>
      <w:r w:rsidRPr="00A92EB3">
        <w:rPr>
          <w:i/>
          <w:iCs/>
          <w:lang w:val="sr-Latn-CS"/>
        </w:rPr>
        <w:t>Логос</w:t>
      </w:r>
      <w:r w:rsidRPr="00D74B24">
        <w:rPr>
          <w:lang w:val="sr-Latn-CS"/>
        </w:rPr>
        <w:t xml:space="preserve">, </w:t>
      </w:r>
      <w:r w:rsidRPr="00A92EB3">
        <w:rPr>
          <w:lang w:val="sr-Latn-CS"/>
        </w:rPr>
        <w:t>бр</w:t>
      </w:r>
      <w:r w:rsidRPr="00D74B24">
        <w:rPr>
          <w:lang w:val="sr-Latn-CS"/>
        </w:rPr>
        <w:t>. 2 (</w:t>
      </w:r>
      <w:r w:rsidRPr="00A92EB3">
        <w:rPr>
          <w:lang w:val="sr-Latn-CS"/>
        </w:rPr>
        <w:t>Фебруар</w:t>
      </w:r>
      <w:r w:rsidRPr="00D74B24">
        <w:rPr>
          <w:lang w:val="sr-Latn-CS"/>
        </w:rPr>
        <w:t xml:space="preserve"> 1999):</w:t>
      </w:r>
      <w:r>
        <w:rPr>
          <w:lang w:val="sr-Latn-CS"/>
        </w:rPr>
        <w:t xml:space="preserve"> 20-24</w:t>
      </w:r>
      <w:r w:rsidRPr="00D74B24">
        <w:rPr>
          <w:lang w:val="sr-Latn-CS"/>
        </w:rPr>
        <w:t xml:space="preserve"> </w:t>
      </w:r>
    </w:p>
    <w:p w:rsidR="00A22EB9" w:rsidRPr="007D5FEC" w:rsidRDefault="00A22EB9" w:rsidP="00E82100">
      <w:pPr>
        <w:pStyle w:val="BodyTextIndent"/>
        <w:spacing w:before="360" w:after="0"/>
        <w:ind w:firstLine="0"/>
        <w:rPr>
          <w:b/>
          <w:bCs/>
          <w:sz w:val="28"/>
          <w:szCs w:val="28"/>
        </w:rPr>
      </w:pPr>
      <w:r w:rsidRPr="001E0598">
        <w:rPr>
          <w:lang w:val="sr-Latn-CS"/>
        </w:rPr>
        <w:tab/>
      </w:r>
      <w:r>
        <w:rPr>
          <w:b/>
          <w:bCs/>
          <w:sz w:val="28"/>
          <w:szCs w:val="28"/>
        </w:rPr>
        <w:t xml:space="preserve">3. </w:t>
      </w:r>
      <w:r w:rsidRPr="007D5FEC">
        <w:rPr>
          <w:b/>
          <w:bCs/>
          <w:sz w:val="28"/>
          <w:szCs w:val="28"/>
        </w:rPr>
        <w:t>Анализа радова који кандидата квалификују у предложено звање</w:t>
      </w:r>
    </w:p>
    <w:p w:rsidR="00A22EB9" w:rsidRPr="00DC5F32" w:rsidRDefault="00A22EB9" w:rsidP="00460847">
      <w:pPr>
        <w:pStyle w:val="BodyTextIndent"/>
        <w:spacing w:after="0" w:line="240" w:lineRule="auto"/>
        <w:ind w:firstLine="0"/>
        <w:rPr>
          <w:b/>
          <w:bCs/>
        </w:rPr>
      </w:pPr>
    </w:p>
    <w:p w:rsidR="00A22EB9" w:rsidRDefault="00A22EB9" w:rsidP="0091396A">
      <w:pPr>
        <w:pStyle w:val="BodyTextIndent"/>
        <w:spacing w:after="0" w:line="240" w:lineRule="auto"/>
      </w:pPr>
      <w:r w:rsidRPr="00DC5F32">
        <w:t>Као што се види из библиографије канди</w:t>
      </w:r>
      <w:r>
        <w:t>дата, он је до сада објавио више</w:t>
      </w:r>
      <w:r w:rsidRPr="00DC5F32">
        <w:t xml:space="preserve"> радо</w:t>
      </w:r>
      <w:r>
        <w:t xml:space="preserve">ва различитог обима и карактера. </w:t>
      </w:r>
      <w:r w:rsidRPr="00DC5F32">
        <w:t>Овде ћемо п</w:t>
      </w:r>
      <w:r>
        <w:t>риказа</w:t>
      </w:r>
      <w:r w:rsidRPr="00DC5F32">
        <w:t xml:space="preserve">ти само </w:t>
      </w:r>
      <w:r>
        <w:t>категорисан</w:t>
      </w:r>
      <w:r w:rsidRPr="00DC5F32">
        <w:t>е</w:t>
      </w:r>
      <w:r w:rsidRPr="00164A2A">
        <w:t xml:space="preserve"> радове.</w:t>
      </w:r>
    </w:p>
    <w:p w:rsidR="00A22EB9" w:rsidRDefault="00A22EB9" w:rsidP="0091396A">
      <w:pPr>
        <w:pStyle w:val="BodyTextIndent"/>
        <w:spacing w:after="0" w:line="240" w:lineRule="auto"/>
      </w:pPr>
    </w:p>
    <w:p w:rsidR="00A22EB9" w:rsidRDefault="00A22EB9" w:rsidP="0091396A">
      <w:pPr>
        <w:pStyle w:val="BodyTextIndent"/>
        <w:spacing w:after="0" w:line="240" w:lineRule="auto"/>
        <w:rPr>
          <w:i/>
          <w:iCs/>
        </w:rPr>
      </w:pPr>
      <w:r>
        <w:rPr>
          <w:i/>
          <w:iCs/>
        </w:rPr>
        <w:t>Садржајно п</w:t>
      </w:r>
      <w:r w:rsidRPr="00DB34CC">
        <w:rPr>
          <w:i/>
          <w:iCs/>
        </w:rPr>
        <w:t>оглавље</w:t>
      </w:r>
      <w:r>
        <w:rPr>
          <w:i/>
          <w:iCs/>
        </w:rPr>
        <w:t xml:space="preserve"> под насловом </w:t>
      </w:r>
      <w:r w:rsidRPr="001239C8">
        <w:t>“</w:t>
      </w:r>
      <w:r w:rsidRPr="007B0CFE">
        <w:t>Ni</w:t>
      </w:r>
      <w:r w:rsidRPr="001239C8">
        <w:t>š</w:t>
      </w:r>
      <w:r w:rsidRPr="007B0CFE">
        <w:t>ka</w:t>
      </w:r>
      <w:r w:rsidRPr="001239C8">
        <w:t xml:space="preserve"> </w:t>
      </w:r>
      <w:r w:rsidRPr="007B0CFE">
        <w:t>Banja</w:t>
      </w:r>
      <w:r w:rsidRPr="001239C8">
        <w:t xml:space="preserve">: </w:t>
      </w:r>
      <w:r w:rsidRPr="00F34D34">
        <w:t>Moder</w:t>
      </w:r>
      <w:r>
        <w:t>n</w:t>
      </w:r>
      <w:r w:rsidRPr="001239C8">
        <w:t xml:space="preserve"> </w:t>
      </w:r>
      <w:r>
        <w:t>Architecture</w:t>
      </w:r>
      <w:r w:rsidRPr="001239C8">
        <w:t xml:space="preserve"> </w:t>
      </w:r>
      <w:r>
        <w:t>for</w:t>
      </w:r>
      <w:r w:rsidRPr="001239C8">
        <w:t xml:space="preserve"> </w:t>
      </w:r>
      <w:r>
        <w:t>a</w:t>
      </w:r>
      <w:r w:rsidRPr="001239C8">
        <w:t xml:space="preserve"> </w:t>
      </w:r>
      <w:r>
        <w:t>Modern</w:t>
      </w:r>
      <w:r w:rsidRPr="001239C8">
        <w:t xml:space="preserve"> </w:t>
      </w:r>
      <w:r>
        <w:t>Spa</w:t>
      </w:r>
      <w:r w:rsidRPr="001239C8">
        <w:t>”</w:t>
      </w:r>
      <w:r>
        <w:t xml:space="preserve"> </w:t>
      </w:r>
      <w:r w:rsidRPr="00F34D34">
        <w:t xml:space="preserve"> </w:t>
      </w:r>
      <w:r>
        <w:t xml:space="preserve">у књизи </w:t>
      </w:r>
      <w:r w:rsidRPr="009E55BC">
        <w:t>On the Very Edge: Modernism and Modernity in the Arts and Architecture of Interwar Serbia</w:t>
      </w:r>
      <w:r>
        <w:t xml:space="preserve"> (Leuven</w:t>
      </w:r>
      <w:r w:rsidRPr="00FC38DB">
        <w:t xml:space="preserve"> 2014</w:t>
      </w:r>
      <w:r>
        <w:t>,</w:t>
      </w:r>
      <w:r w:rsidRPr="00FC38DB">
        <w:t xml:space="preserve"> 247-268</w:t>
      </w:r>
      <w:r>
        <w:t xml:space="preserve">) </w:t>
      </w:r>
      <w:r>
        <w:rPr>
          <w:i/>
          <w:iCs/>
        </w:rPr>
        <w:t>пружа инструктиван</w:t>
      </w:r>
      <w:r w:rsidRPr="00DB34CC">
        <w:rPr>
          <w:i/>
          <w:iCs/>
        </w:rPr>
        <w:t xml:space="preserve"> приказ урбанистичког и архитектонског уобличења Нишке Бање током тридесетих година ХХ века, са посебним нагласком на употреб</w:t>
      </w:r>
      <w:r>
        <w:rPr>
          <w:i/>
          <w:iCs/>
        </w:rPr>
        <w:t>у</w:t>
      </w:r>
      <w:r w:rsidRPr="00DB34CC">
        <w:rPr>
          <w:i/>
          <w:iCs/>
        </w:rPr>
        <w:t xml:space="preserve"> модернистичког идиома </w:t>
      </w:r>
      <w:r>
        <w:rPr>
          <w:i/>
          <w:iCs/>
        </w:rPr>
        <w:t>у складу са</w:t>
      </w:r>
      <w:r w:rsidRPr="00DB34CC">
        <w:rPr>
          <w:i/>
          <w:iCs/>
        </w:rPr>
        <w:t xml:space="preserve"> тадашњим здравстеним, друштвеним и економским потребама. </w:t>
      </w:r>
      <w:r>
        <w:rPr>
          <w:i/>
          <w:iCs/>
        </w:rPr>
        <w:t>Уверљиво је р</w:t>
      </w:r>
      <w:r w:rsidRPr="00DB34CC">
        <w:rPr>
          <w:i/>
          <w:iCs/>
        </w:rPr>
        <w:t>азм</w:t>
      </w:r>
      <w:r>
        <w:rPr>
          <w:i/>
          <w:iCs/>
        </w:rPr>
        <w:t>о</w:t>
      </w:r>
      <w:r w:rsidRPr="00DB34CC">
        <w:rPr>
          <w:i/>
          <w:iCs/>
        </w:rPr>
        <w:t>тр</w:t>
      </w:r>
      <w:r>
        <w:rPr>
          <w:i/>
          <w:iCs/>
        </w:rPr>
        <w:t>е</w:t>
      </w:r>
      <w:r w:rsidRPr="00DB34CC">
        <w:rPr>
          <w:i/>
          <w:iCs/>
        </w:rPr>
        <w:t>н ниво модернизма у односу на савремена кретања у Европи, као и домаћ</w:t>
      </w:r>
      <w:r>
        <w:rPr>
          <w:i/>
          <w:iCs/>
        </w:rPr>
        <w:t>е</w:t>
      </w:r>
      <w:r w:rsidRPr="00DB34CC">
        <w:rPr>
          <w:i/>
          <w:iCs/>
        </w:rPr>
        <w:t xml:space="preserve"> развојн</w:t>
      </w:r>
      <w:r>
        <w:rPr>
          <w:i/>
          <w:iCs/>
        </w:rPr>
        <w:t>е</w:t>
      </w:r>
      <w:r w:rsidRPr="00DB34CC">
        <w:rPr>
          <w:i/>
          <w:iCs/>
        </w:rPr>
        <w:t xml:space="preserve"> околности. Овај научни рад у великој мери доприноси п</w:t>
      </w:r>
      <w:r>
        <w:rPr>
          <w:i/>
          <w:iCs/>
        </w:rPr>
        <w:t>озна</w:t>
      </w:r>
      <w:r w:rsidRPr="00DB34CC">
        <w:rPr>
          <w:i/>
          <w:iCs/>
        </w:rPr>
        <w:t>вању српских бањских насеља и њихове архитектуре, који нису довољно проучени. Нарочит</w:t>
      </w:r>
      <w:r>
        <w:rPr>
          <w:i/>
          <w:iCs/>
        </w:rPr>
        <w:t>и доприноси рада препознају се у зналачком</w:t>
      </w:r>
      <w:r w:rsidRPr="00DB34CC">
        <w:rPr>
          <w:i/>
          <w:iCs/>
        </w:rPr>
        <w:t xml:space="preserve"> представљањ</w:t>
      </w:r>
      <w:r>
        <w:rPr>
          <w:i/>
          <w:iCs/>
        </w:rPr>
        <w:t>у</w:t>
      </w:r>
      <w:r w:rsidRPr="00DB34CC">
        <w:rPr>
          <w:i/>
          <w:iCs/>
        </w:rPr>
        <w:t xml:space="preserve"> модерне архитектуре изван јаких градских центара, њен</w:t>
      </w:r>
      <w:r>
        <w:rPr>
          <w:i/>
          <w:iCs/>
        </w:rPr>
        <w:t>ој</w:t>
      </w:r>
      <w:r w:rsidRPr="00DB34CC">
        <w:rPr>
          <w:i/>
          <w:iCs/>
        </w:rPr>
        <w:t xml:space="preserve"> анализ</w:t>
      </w:r>
      <w:r>
        <w:rPr>
          <w:i/>
          <w:iCs/>
        </w:rPr>
        <w:t>и</w:t>
      </w:r>
      <w:r w:rsidRPr="00DB34CC">
        <w:rPr>
          <w:i/>
          <w:iCs/>
        </w:rPr>
        <w:t xml:space="preserve"> у контексту извесних историјских процеса и кретања у друштву, </w:t>
      </w:r>
      <w:r>
        <w:rPr>
          <w:i/>
          <w:iCs/>
        </w:rPr>
        <w:t>односн</w:t>
      </w:r>
      <w:r w:rsidRPr="00DB34CC">
        <w:rPr>
          <w:i/>
          <w:iCs/>
        </w:rPr>
        <w:t xml:space="preserve">о </w:t>
      </w:r>
      <w:r>
        <w:rPr>
          <w:i/>
          <w:iCs/>
        </w:rPr>
        <w:t xml:space="preserve">у </w:t>
      </w:r>
      <w:r w:rsidRPr="00DB34CC">
        <w:rPr>
          <w:i/>
          <w:iCs/>
        </w:rPr>
        <w:t>отварањ</w:t>
      </w:r>
      <w:r>
        <w:rPr>
          <w:i/>
          <w:iCs/>
        </w:rPr>
        <w:t>у</w:t>
      </w:r>
      <w:r w:rsidRPr="00DB34CC">
        <w:rPr>
          <w:i/>
          <w:iCs/>
        </w:rPr>
        <w:t xml:space="preserve"> неких питања везаних за природу модернизма у тадашњем урбанизму и архитектури. </w:t>
      </w:r>
    </w:p>
    <w:p w:rsidR="00A22EB9" w:rsidRPr="0091396A" w:rsidRDefault="00A22EB9" w:rsidP="0091396A">
      <w:pPr>
        <w:ind w:left="1440" w:hanging="1440"/>
        <w:jc w:val="both"/>
      </w:pPr>
    </w:p>
    <w:p w:rsidR="00A22EB9" w:rsidRDefault="00A22EB9" w:rsidP="007D5FEC">
      <w:pPr>
        <w:ind w:firstLine="720"/>
        <w:jc w:val="both"/>
        <w:rPr>
          <w:i/>
          <w:iCs/>
        </w:rPr>
      </w:pPr>
      <w:r w:rsidRPr="009E55BC">
        <w:rPr>
          <w:i/>
          <w:iCs/>
        </w:rPr>
        <w:t>За значајну online публикацију</w:t>
      </w:r>
      <w:r w:rsidRPr="00142706">
        <w:t xml:space="preserve"> </w:t>
      </w:r>
      <w:r w:rsidRPr="009E55BC">
        <w:t>Encyclopaedia of the Hellenic World, Volume 3: Constantinople</w:t>
      </w:r>
      <w:r w:rsidRPr="00142706">
        <w:t xml:space="preserve"> (</w:t>
      </w:r>
      <w:r w:rsidRPr="00EC755A">
        <w:t>Athens</w:t>
      </w:r>
      <w:r w:rsidRPr="00142706">
        <w:t xml:space="preserve">, </w:t>
      </w:r>
      <w:r w:rsidRPr="00EC755A">
        <w:t>Greece</w:t>
      </w:r>
      <w:r w:rsidRPr="00142706">
        <w:t xml:space="preserve">, 2008) </w:t>
      </w:r>
      <w:r w:rsidRPr="0022706D">
        <w:rPr>
          <w:i/>
          <w:iCs/>
        </w:rPr>
        <w:t>колега Станковић је написао три одреднице посвећене средњовизантијској архитектури Цариграда</w:t>
      </w:r>
      <w:r>
        <w:t xml:space="preserve"> (</w:t>
      </w:r>
      <w:r w:rsidRPr="00142706">
        <w:t>“</w:t>
      </w:r>
      <w:r w:rsidRPr="00EC755A">
        <w:t>Middle</w:t>
      </w:r>
      <w:r w:rsidRPr="00142706">
        <w:t xml:space="preserve"> </w:t>
      </w:r>
      <w:r w:rsidRPr="00EC755A">
        <w:t>Byzantine</w:t>
      </w:r>
      <w:r w:rsidRPr="00142706">
        <w:t xml:space="preserve"> </w:t>
      </w:r>
      <w:r w:rsidRPr="00EC755A">
        <w:t>Religious</w:t>
      </w:r>
      <w:r w:rsidRPr="00142706">
        <w:t xml:space="preserve"> </w:t>
      </w:r>
      <w:r w:rsidRPr="00EC755A">
        <w:t>Architecture</w:t>
      </w:r>
      <w:r w:rsidRPr="00142706">
        <w:t xml:space="preserve"> </w:t>
      </w:r>
      <w:r w:rsidRPr="00EC755A">
        <w:t>in</w:t>
      </w:r>
      <w:r w:rsidRPr="00142706">
        <w:t xml:space="preserve"> </w:t>
      </w:r>
      <w:r w:rsidRPr="00EC755A">
        <w:t>Constantinople</w:t>
      </w:r>
      <w:r w:rsidRPr="00142706">
        <w:t>”</w:t>
      </w:r>
      <w:r>
        <w:t xml:space="preserve">, </w:t>
      </w:r>
      <w:r w:rsidRPr="00142706">
        <w:t>“</w:t>
      </w:r>
      <w:r w:rsidRPr="00EC755A">
        <w:t>Nea</w:t>
      </w:r>
      <w:r w:rsidRPr="00142706">
        <w:t xml:space="preserve"> </w:t>
      </w:r>
      <w:r w:rsidRPr="00EC755A">
        <w:t>Ekklesia</w:t>
      </w:r>
      <w:r w:rsidRPr="00142706">
        <w:t>” и “</w:t>
      </w:r>
      <w:r>
        <w:t>Theotokos</w:t>
      </w:r>
      <w:r w:rsidRPr="00142706">
        <w:t xml:space="preserve"> </w:t>
      </w:r>
      <w:r>
        <w:t>Panachrantos</w:t>
      </w:r>
      <w:r w:rsidRPr="00142706">
        <w:t xml:space="preserve"> </w:t>
      </w:r>
      <w:r>
        <w:t>or</w:t>
      </w:r>
      <w:r w:rsidRPr="00142706">
        <w:t xml:space="preserve"> </w:t>
      </w:r>
      <w:r w:rsidRPr="00EC755A">
        <w:t>Lips</w:t>
      </w:r>
      <w:r w:rsidRPr="00142706">
        <w:t xml:space="preserve"> </w:t>
      </w:r>
      <w:r w:rsidRPr="00EC755A">
        <w:t>Monastery</w:t>
      </w:r>
      <w:r>
        <w:t xml:space="preserve"> – Fenari</w:t>
      </w:r>
      <w:r w:rsidRPr="00142706">
        <w:t xml:space="preserve"> </w:t>
      </w:r>
      <w:r>
        <w:t>Isa</w:t>
      </w:r>
      <w:r w:rsidRPr="00142706">
        <w:t xml:space="preserve"> </w:t>
      </w:r>
      <w:r>
        <w:t>Camii</w:t>
      </w:r>
      <w:r w:rsidRPr="00142706">
        <w:t xml:space="preserve">)”. </w:t>
      </w:r>
      <w:r w:rsidRPr="00DB34CC">
        <w:rPr>
          <w:i/>
          <w:iCs/>
        </w:rPr>
        <w:t>Прва одредница</w:t>
      </w:r>
      <w:r>
        <w:rPr>
          <w:i/>
          <w:iCs/>
        </w:rPr>
        <w:t xml:space="preserve"> заправо </w:t>
      </w:r>
      <w:r w:rsidRPr="00DB34CC">
        <w:rPr>
          <w:i/>
          <w:iCs/>
        </w:rPr>
        <w:t xml:space="preserve">је </w:t>
      </w:r>
      <w:r>
        <w:rPr>
          <w:i/>
          <w:iCs/>
        </w:rPr>
        <w:t xml:space="preserve">шири </w:t>
      </w:r>
      <w:r w:rsidRPr="00DB34CC">
        <w:rPr>
          <w:i/>
          <w:iCs/>
        </w:rPr>
        <w:t xml:space="preserve">историјски преглед који, осим </w:t>
      </w:r>
      <w:r>
        <w:rPr>
          <w:i/>
          <w:iCs/>
        </w:rPr>
        <w:t>пружа</w:t>
      </w:r>
      <w:r w:rsidRPr="00DB34CC">
        <w:rPr>
          <w:i/>
          <w:iCs/>
        </w:rPr>
        <w:t xml:space="preserve">ња потребних података и </w:t>
      </w:r>
      <w:r>
        <w:rPr>
          <w:i/>
          <w:iCs/>
        </w:rPr>
        <w:t xml:space="preserve">указивања на </w:t>
      </w:r>
      <w:r w:rsidRPr="00DB34CC">
        <w:rPr>
          <w:i/>
          <w:iCs/>
        </w:rPr>
        <w:t>карактеристичн</w:t>
      </w:r>
      <w:r>
        <w:rPr>
          <w:i/>
          <w:iCs/>
        </w:rPr>
        <w:t>е</w:t>
      </w:r>
      <w:r w:rsidRPr="00DB34CC">
        <w:rPr>
          <w:i/>
          <w:iCs/>
        </w:rPr>
        <w:t xml:space="preserve"> </w:t>
      </w:r>
      <w:r>
        <w:rPr>
          <w:i/>
          <w:iCs/>
        </w:rPr>
        <w:t xml:space="preserve">развојне </w:t>
      </w:r>
      <w:r w:rsidRPr="00DB34CC">
        <w:rPr>
          <w:i/>
          <w:iCs/>
        </w:rPr>
        <w:t>трендов</w:t>
      </w:r>
      <w:r>
        <w:rPr>
          <w:i/>
          <w:iCs/>
        </w:rPr>
        <w:t>е</w:t>
      </w:r>
      <w:r w:rsidRPr="00DB34CC">
        <w:rPr>
          <w:i/>
          <w:iCs/>
        </w:rPr>
        <w:t xml:space="preserve">, настоји да истакне извесне типолошке и функционалне одлике црквених објеката у датом периоду. Друге две одреднице </w:t>
      </w:r>
      <w:r>
        <w:rPr>
          <w:i/>
          <w:iCs/>
        </w:rPr>
        <w:t>посвећене су</w:t>
      </w:r>
      <w:r w:rsidRPr="00DB34CC">
        <w:rPr>
          <w:i/>
          <w:iCs/>
        </w:rPr>
        <w:t xml:space="preserve"> </w:t>
      </w:r>
      <w:r>
        <w:rPr>
          <w:i/>
          <w:iCs/>
        </w:rPr>
        <w:t>појединач</w:t>
      </w:r>
      <w:r w:rsidRPr="00DB34CC">
        <w:rPr>
          <w:i/>
          <w:iCs/>
        </w:rPr>
        <w:t xml:space="preserve">ним </w:t>
      </w:r>
      <w:r>
        <w:rPr>
          <w:i/>
          <w:iCs/>
        </w:rPr>
        <w:t>спомениц</w:t>
      </w:r>
      <w:r w:rsidRPr="00DB34CC">
        <w:rPr>
          <w:i/>
          <w:iCs/>
        </w:rPr>
        <w:t>има, једн</w:t>
      </w:r>
      <w:r>
        <w:rPr>
          <w:i/>
          <w:iCs/>
        </w:rPr>
        <w:t>о</w:t>
      </w:r>
      <w:r w:rsidRPr="00DB34CC">
        <w:rPr>
          <w:i/>
          <w:iCs/>
        </w:rPr>
        <w:t>м сачуван</w:t>
      </w:r>
      <w:r>
        <w:rPr>
          <w:i/>
          <w:iCs/>
        </w:rPr>
        <w:t>о</w:t>
      </w:r>
      <w:r w:rsidRPr="00DB34CC">
        <w:rPr>
          <w:i/>
          <w:iCs/>
        </w:rPr>
        <w:t>м и друг</w:t>
      </w:r>
      <w:r>
        <w:rPr>
          <w:i/>
          <w:iCs/>
        </w:rPr>
        <w:t>о</w:t>
      </w:r>
      <w:r w:rsidRPr="00DB34CC">
        <w:rPr>
          <w:i/>
          <w:iCs/>
        </w:rPr>
        <w:t>м познат</w:t>
      </w:r>
      <w:r>
        <w:rPr>
          <w:i/>
          <w:iCs/>
        </w:rPr>
        <w:t>о</w:t>
      </w:r>
      <w:r w:rsidRPr="00DB34CC">
        <w:rPr>
          <w:i/>
          <w:iCs/>
        </w:rPr>
        <w:t xml:space="preserve">м само из писаних извора и ликовних приказа. </w:t>
      </w:r>
      <w:r>
        <w:rPr>
          <w:i/>
          <w:iCs/>
        </w:rPr>
        <w:t>П</w:t>
      </w:r>
      <w:r w:rsidRPr="00DB34CC">
        <w:rPr>
          <w:i/>
          <w:iCs/>
        </w:rPr>
        <w:t xml:space="preserve">редстављени </w:t>
      </w:r>
      <w:r>
        <w:rPr>
          <w:i/>
          <w:iCs/>
        </w:rPr>
        <w:t xml:space="preserve">су </w:t>
      </w:r>
      <w:r w:rsidRPr="00DB34CC">
        <w:rPr>
          <w:i/>
          <w:iCs/>
        </w:rPr>
        <w:t>историјски подаци</w:t>
      </w:r>
      <w:r>
        <w:rPr>
          <w:i/>
          <w:iCs/>
        </w:rPr>
        <w:t xml:space="preserve"> о оба храма</w:t>
      </w:r>
      <w:r w:rsidRPr="00DB34CC">
        <w:rPr>
          <w:i/>
          <w:iCs/>
        </w:rPr>
        <w:t xml:space="preserve">, </w:t>
      </w:r>
      <w:r>
        <w:rPr>
          <w:i/>
          <w:iCs/>
        </w:rPr>
        <w:t xml:space="preserve">дат је </w:t>
      </w:r>
      <w:r w:rsidRPr="00DB34CC">
        <w:rPr>
          <w:i/>
          <w:iCs/>
        </w:rPr>
        <w:t xml:space="preserve">опис </w:t>
      </w:r>
      <w:r>
        <w:rPr>
          <w:i/>
          <w:iCs/>
        </w:rPr>
        <w:t xml:space="preserve">њихове </w:t>
      </w:r>
      <w:r w:rsidRPr="00DB34CC">
        <w:rPr>
          <w:i/>
          <w:iCs/>
        </w:rPr>
        <w:t xml:space="preserve">архитектуре и декорације, као и </w:t>
      </w:r>
      <w:r>
        <w:rPr>
          <w:i/>
          <w:iCs/>
        </w:rPr>
        <w:t xml:space="preserve">оцена </w:t>
      </w:r>
      <w:r w:rsidRPr="00DB34CC">
        <w:rPr>
          <w:i/>
          <w:iCs/>
        </w:rPr>
        <w:t>значај</w:t>
      </w:r>
      <w:r>
        <w:rPr>
          <w:i/>
          <w:iCs/>
        </w:rPr>
        <w:t>а који су имали за развој византијског градитељства</w:t>
      </w:r>
      <w:r w:rsidRPr="00DB34CC">
        <w:rPr>
          <w:i/>
          <w:iCs/>
        </w:rPr>
        <w:t xml:space="preserve">. Све три одреднице опремљене су битним цитатима из извора, илустрацијама, хронологијама, исцрпним библиографијама, објашњењима стручних израза и другим додатним подацима. Због </w:t>
      </w:r>
      <w:r>
        <w:rPr>
          <w:i/>
          <w:iCs/>
        </w:rPr>
        <w:t xml:space="preserve">свега </w:t>
      </w:r>
      <w:r w:rsidRPr="00DB34CC">
        <w:rPr>
          <w:i/>
          <w:iCs/>
        </w:rPr>
        <w:t>тога ове одреднице представљају не само интересантно и веома информативно штиво за просечног читаоца, већ и почетну истраживачку базу за сваког студиозног проучаваоца византијске архитектуре, Цариграда и</w:t>
      </w:r>
      <w:r>
        <w:rPr>
          <w:i/>
          <w:iCs/>
        </w:rPr>
        <w:t xml:space="preserve"> поједин</w:t>
      </w:r>
      <w:r w:rsidRPr="00DB34CC">
        <w:rPr>
          <w:i/>
          <w:iCs/>
        </w:rPr>
        <w:t xml:space="preserve">их </w:t>
      </w:r>
      <w:r>
        <w:rPr>
          <w:i/>
          <w:iCs/>
        </w:rPr>
        <w:t>његов</w:t>
      </w:r>
      <w:r w:rsidRPr="00DB34CC">
        <w:rPr>
          <w:i/>
          <w:iCs/>
        </w:rPr>
        <w:t>их грађевина.</w:t>
      </w:r>
    </w:p>
    <w:p w:rsidR="00A22EB9" w:rsidRDefault="00A22EB9" w:rsidP="0091396A">
      <w:pPr>
        <w:ind w:firstLine="1440"/>
        <w:jc w:val="both"/>
        <w:rPr>
          <w:i/>
          <w:iCs/>
        </w:rPr>
      </w:pPr>
    </w:p>
    <w:p w:rsidR="00A22EB9" w:rsidRDefault="00A22EB9" w:rsidP="009E55BC">
      <w:pPr>
        <w:ind w:firstLine="720"/>
        <w:jc w:val="both"/>
        <w:rPr>
          <w:i/>
          <w:iCs/>
        </w:rPr>
      </w:pPr>
      <w:r w:rsidRPr="009E55BC">
        <w:rPr>
          <w:i/>
          <w:iCs/>
        </w:rPr>
        <w:t>Рад</w:t>
      </w:r>
      <w:r>
        <w:t xml:space="preserve"> </w:t>
      </w:r>
      <w:r w:rsidRPr="002D1E8F">
        <w:t>“</w:t>
      </w:r>
      <w:r w:rsidRPr="00FC38DB">
        <w:t>Milutin</w:t>
      </w:r>
      <w:r w:rsidRPr="002D1E8F">
        <w:t xml:space="preserve"> </w:t>
      </w:r>
      <w:r w:rsidRPr="00FC38DB">
        <w:t>Borisavljevi</w:t>
      </w:r>
      <w:r w:rsidRPr="002D1E8F">
        <w:t xml:space="preserve">ć </w:t>
      </w:r>
      <w:r w:rsidRPr="00FC38DB">
        <w:t>and</w:t>
      </w:r>
      <w:r w:rsidRPr="002D1E8F">
        <w:t xml:space="preserve"> </w:t>
      </w:r>
      <w:r w:rsidRPr="00FC38DB">
        <w:t>His</w:t>
      </w:r>
      <w:r w:rsidRPr="002D1E8F">
        <w:t xml:space="preserve"> </w:t>
      </w:r>
      <w:r w:rsidRPr="00FC38DB">
        <w:t>Scientific</w:t>
      </w:r>
      <w:r w:rsidRPr="002D1E8F">
        <w:t xml:space="preserve"> </w:t>
      </w:r>
      <w:r w:rsidRPr="00FC38DB">
        <w:t>Aesthetics</w:t>
      </w:r>
      <w:r w:rsidRPr="002D1E8F">
        <w:t xml:space="preserve"> </w:t>
      </w:r>
      <w:r w:rsidRPr="002A0645">
        <w:t>of</w:t>
      </w:r>
      <w:r w:rsidRPr="002D1E8F">
        <w:t xml:space="preserve"> </w:t>
      </w:r>
      <w:r w:rsidRPr="002A0645">
        <w:t>Architecture</w:t>
      </w:r>
      <w:r w:rsidRPr="00142706">
        <w:t>”</w:t>
      </w:r>
      <w:r>
        <w:t xml:space="preserve"> – </w:t>
      </w:r>
      <w:r w:rsidRPr="0022706D">
        <w:rPr>
          <w:i/>
          <w:iCs/>
        </w:rPr>
        <w:t>објављен у часопису</w:t>
      </w:r>
      <w:r w:rsidRPr="00142706">
        <w:t xml:space="preserve"> </w:t>
      </w:r>
      <w:r w:rsidRPr="009E55BC">
        <w:t>Serbian Studies: Journal of the North American Society for Serbian Studies</w:t>
      </w:r>
      <w:r w:rsidRPr="00142706">
        <w:t xml:space="preserve"> 22:2 (2008; </w:t>
      </w:r>
      <w:r>
        <w:t>published</w:t>
      </w:r>
      <w:r w:rsidRPr="00142706">
        <w:t xml:space="preserve"> </w:t>
      </w:r>
      <w:r>
        <w:t>in</w:t>
      </w:r>
      <w:r w:rsidRPr="00142706">
        <w:t xml:space="preserve"> 2011), </w:t>
      </w:r>
      <w:r>
        <w:t>Special</w:t>
      </w:r>
      <w:r w:rsidRPr="00142706">
        <w:t xml:space="preserve"> </w:t>
      </w:r>
      <w:r>
        <w:t>Issue</w:t>
      </w:r>
      <w:r w:rsidRPr="00142706">
        <w:t xml:space="preserve">: </w:t>
      </w:r>
      <w:r>
        <w:t>Serbian</w:t>
      </w:r>
      <w:r w:rsidRPr="00142706">
        <w:t xml:space="preserve"> </w:t>
      </w:r>
      <w:r>
        <w:t>Thinkers</w:t>
      </w:r>
      <w:r w:rsidRPr="00142706">
        <w:t xml:space="preserve"> </w:t>
      </w:r>
      <w:r>
        <w:t>of</w:t>
      </w:r>
      <w:r w:rsidRPr="00142706">
        <w:t xml:space="preserve"> </w:t>
      </w:r>
      <w:r>
        <w:t>the</w:t>
      </w:r>
      <w:r w:rsidRPr="00142706">
        <w:t xml:space="preserve"> </w:t>
      </w:r>
      <w:r>
        <w:t>Interwar</w:t>
      </w:r>
      <w:r w:rsidRPr="00142706">
        <w:t xml:space="preserve"> </w:t>
      </w:r>
      <w:r>
        <w:t xml:space="preserve">Period, </w:t>
      </w:r>
      <w:r w:rsidRPr="00142706">
        <w:t>1918-45): 133-147 –</w:t>
      </w:r>
      <w:r>
        <w:t xml:space="preserve"> </w:t>
      </w:r>
      <w:r>
        <w:rPr>
          <w:i/>
          <w:iCs/>
        </w:rPr>
        <w:t>развијен</w:t>
      </w:r>
      <w:r w:rsidRPr="00DB34CC">
        <w:rPr>
          <w:i/>
          <w:iCs/>
        </w:rPr>
        <w:t xml:space="preserve"> је из конференцијског излагања у оквиру темата „Заборављени српски мислиоци“, а посвећен је теоријском опусу архитекте Милутина Борисављевића, који је недовољно проучен. Поред анализе његових идеја везаних за „научну естетику архитектуре“, </w:t>
      </w:r>
      <w:r>
        <w:rPr>
          <w:i/>
          <w:iCs/>
        </w:rPr>
        <w:t>дата је и меродавна</w:t>
      </w:r>
      <w:r w:rsidRPr="00DB34CC">
        <w:rPr>
          <w:i/>
          <w:iCs/>
        </w:rPr>
        <w:t xml:space="preserve"> оцен</w:t>
      </w:r>
      <w:r>
        <w:rPr>
          <w:i/>
          <w:iCs/>
        </w:rPr>
        <w:t>а</w:t>
      </w:r>
      <w:r w:rsidRPr="00DB34CC">
        <w:rPr>
          <w:i/>
          <w:iCs/>
        </w:rPr>
        <w:t xml:space="preserve"> њихов</w:t>
      </w:r>
      <w:r>
        <w:rPr>
          <w:i/>
          <w:iCs/>
        </w:rPr>
        <w:t>их</w:t>
      </w:r>
      <w:r w:rsidRPr="00DB34CC">
        <w:rPr>
          <w:i/>
          <w:iCs/>
        </w:rPr>
        <w:t xml:space="preserve"> вредност</w:t>
      </w:r>
      <w:r>
        <w:rPr>
          <w:i/>
          <w:iCs/>
        </w:rPr>
        <w:t>и</w:t>
      </w:r>
      <w:r w:rsidRPr="00DB34CC">
        <w:rPr>
          <w:i/>
          <w:iCs/>
        </w:rPr>
        <w:t xml:space="preserve"> и значај</w:t>
      </w:r>
      <w:r>
        <w:rPr>
          <w:i/>
          <w:iCs/>
        </w:rPr>
        <w:t>а</w:t>
      </w:r>
      <w:r w:rsidRPr="00DB34CC">
        <w:rPr>
          <w:i/>
          <w:iCs/>
        </w:rPr>
        <w:t>.</w:t>
      </w:r>
    </w:p>
    <w:p w:rsidR="00A22EB9" w:rsidRDefault="00A22EB9" w:rsidP="004845DC">
      <w:pPr>
        <w:ind w:firstLine="720"/>
        <w:jc w:val="both"/>
        <w:rPr>
          <w:i/>
          <w:iCs/>
        </w:rPr>
      </w:pPr>
    </w:p>
    <w:p w:rsidR="00A22EB9" w:rsidRDefault="00A22EB9" w:rsidP="004845DC">
      <w:pPr>
        <w:ind w:firstLine="720"/>
        <w:jc w:val="both"/>
        <w:rPr>
          <w:i/>
          <w:iCs/>
        </w:rPr>
      </w:pPr>
      <w:r>
        <w:rPr>
          <w:i/>
          <w:iCs/>
        </w:rPr>
        <w:t>А</w:t>
      </w:r>
      <w:r w:rsidRPr="00DB34CC">
        <w:rPr>
          <w:i/>
          <w:iCs/>
        </w:rPr>
        <w:t xml:space="preserve">пстракт излагања </w:t>
      </w:r>
      <w:r>
        <w:rPr>
          <w:i/>
          <w:iCs/>
        </w:rPr>
        <w:t xml:space="preserve">колеге Станковића </w:t>
      </w:r>
      <w:r w:rsidRPr="00DB34CC">
        <w:rPr>
          <w:i/>
          <w:iCs/>
        </w:rPr>
        <w:t xml:space="preserve">на </w:t>
      </w:r>
      <w:r w:rsidRPr="009E55BC">
        <w:t>22. Међународном византолошком конгресу</w:t>
      </w:r>
      <w:r>
        <w:t xml:space="preserve"> </w:t>
      </w:r>
      <w:r w:rsidRPr="009E55BC">
        <w:rPr>
          <w:i/>
          <w:iCs/>
        </w:rPr>
        <w:t>под насловом</w:t>
      </w:r>
      <w:r>
        <w:t xml:space="preserve"> </w:t>
      </w:r>
      <w:r w:rsidRPr="009E55BC">
        <w:t>“</w:t>
      </w:r>
      <w:r>
        <w:t>Formation</w:t>
      </w:r>
      <w:r w:rsidRPr="009E55BC">
        <w:t xml:space="preserve"> </w:t>
      </w:r>
      <w:r>
        <w:t>of</w:t>
      </w:r>
      <w:r w:rsidRPr="009E55BC">
        <w:t xml:space="preserve"> </w:t>
      </w:r>
      <w:r>
        <w:t>the</w:t>
      </w:r>
      <w:r w:rsidRPr="009E55BC">
        <w:t xml:space="preserve"> </w:t>
      </w:r>
      <w:r w:rsidRPr="00A558E7">
        <w:rPr>
          <w:i/>
          <w:iCs/>
        </w:rPr>
        <w:t>lit</w:t>
      </w:r>
      <w:r w:rsidRPr="009E55BC">
        <w:rPr>
          <w:i/>
          <w:iCs/>
        </w:rPr>
        <w:t>ē</w:t>
      </w:r>
      <w:r w:rsidRPr="009E55BC">
        <w:t xml:space="preserve"> </w:t>
      </w:r>
      <w:r>
        <w:t>on</w:t>
      </w:r>
      <w:r w:rsidRPr="009E55BC">
        <w:t xml:space="preserve"> </w:t>
      </w:r>
      <w:r>
        <w:t>Mount</w:t>
      </w:r>
      <w:r w:rsidRPr="009E55BC">
        <w:t xml:space="preserve"> </w:t>
      </w:r>
      <w:r>
        <w:t>Athos</w:t>
      </w:r>
      <w:r w:rsidRPr="009E55BC">
        <w:t xml:space="preserve">: </w:t>
      </w:r>
      <w:r>
        <w:t>Liturgical</w:t>
      </w:r>
      <w:r w:rsidRPr="009E55BC">
        <w:t xml:space="preserve"> </w:t>
      </w:r>
      <w:r>
        <w:t>and</w:t>
      </w:r>
      <w:r w:rsidRPr="009E55BC">
        <w:t xml:space="preserve"> </w:t>
      </w:r>
      <w:r>
        <w:t>Historical</w:t>
      </w:r>
      <w:r w:rsidRPr="009E55BC">
        <w:t xml:space="preserve"> </w:t>
      </w:r>
      <w:r>
        <w:t>Aspects</w:t>
      </w:r>
      <w:r w:rsidRPr="009E55BC">
        <w:t xml:space="preserve">”, </w:t>
      </w:r>
      <w:r w:rsidRPr="00DB34CC">
        <w:rPr>
          <w:i/>
          <w:iCs/>
        </w:rPr>
        <w:t>а у оквиру округлог стола</w:t>
      </w:r>
      <w:r w:rsidRPr="009E55BC">
        <w:rPr>
          <w:i/>
          <w:iCs/>
        </w:rPr>
        <w:t xml:space="preserve"> “</w:t>
      </w:r>
      <w:r w:rsidRPr="00DB34CC">
        <w:rPr>
          <w:i/>
          <w:iCs/>
        </w:rPr>
        <w:t>Monast</w:t>
      </w:r>
      <w:r w:rsidRPr="009E55BC">
        <w:rPr>
          <w:i/>
          <w:iCs/>
        </w:rPr>
        <w:t>è</w:t>
      </w:r>
      <w:r w:rsidRPr="00DB34CC">
        <w:rPr>
          <w:i/>
          <w:iCs/>
        </w:rPr>
        <w:t>res</w:t>
      </w:r>
      <w:r w:rsidRPr="009E55BC">
        <w:rPr>
          <w:i/>
          <w:iCs/>
        </w:rPr>
        <w:t xml:space="preserve"> </w:t>
      </w:r>
      <w:r w:rsidRPr="00DB34CC">
        <w:rPr>
          <w:i/>
          <w:iCs/>
        </w:rPr>
        <w:t>et</w:t>
      </w:r>
      <w:r w:rsidRPr="009E55BC">
        <w:rPr>
          <w:i/>
          <w:iCs/>
        </w:rPr>
        <w:t xml:space="preserve"> </w:t>
      </w:r>
      <w:r w:rsidRPr="00DB34CC">
        <w:rPr>
          <w:i/>
          <w:iCs/>
        </w:rPr>
        <w:t>monachisme</w:t>
      </w:r>
      <w:r w:rsidRPr="009E55BC">
        <w:rPr>
          <w:i/>
          <w:iCs/>
        </w:rPr>
        <w:t xml:space="preserve"> </w:t>
      </w:r>
      <w:r w:rsidRPr="00DB34CC">
        <w:rPr>
          <w:i/>
          <w:iCs/>
        </w:rPr>
        <w:t>dans</w:t>
      </w:r>
      <w:r w:rsidRPr="009E55BC">
        <w:rPr>
          <w:i/>
          <w:iCs/>
        </w:rPr>
        <w:t xml:space="preserve"> </w:t>
      </w:r>
      <w:r w:rsidRPr="00DB34CC">
        <w:rPr>
          <w:i/>
          <w:iCs/>
        </w:rPr>
        <w:t>l</w:t>
      </w:r>
      <w:r w:rsidRPr="009E55BC">
        <w:rPr>
          <w:i/>
          <w:iCs/>
        </w:rPr>
        <w:t>’</w:t>
      </w:r>
      <w:r w:rsidRPr="00DB34CC">
        <w:rPr>
          <w:i/>
          <w:iCs/>
        </w:rPr>
        <w:t>espace</w:t>
      </w:r>
      <w:r w:rsidRPr="009E55BC">
        <w:rPr>
          <w:i/>
          <w:iCs/>
        </w:rPr>
        <w:t xml:space="preserve"> </w:t>
      </w:r>
      <w:r w:rsidRPr="00DB34CC">
        <w:rPr>
          <w:i/>
          <w:iCs/>
        </w:rPr>
        <w:t>balcanique</w:t>
      </w:r>
      <w:r w:rsidRPr="009E55BC">
        <w:rPr>
          <w:i/>
          <w:iCs/>
        </w:rPr>
        <w:t>”</w:t>
      </w:r>
      <w:r>
        <w:t xml:space="preserve">, </w:t>
      </w:r>
      <w:r w:rsidRPr="009E55BC">
        <w:rPr>
          <w:i/>
          <w:iCs/>
        </w:rPr>
        <w:t>објављен у</w:t>
      </w:r>
      <w:r w:rsidRPr="009E55BC">
        <w:t xml:space="preserve"> Proceedings of the 22nd International Congress of Byzantine Studies, Sofia, 22-27 August 2011, Volume II: Abstracts of Round Table Communications </w:t>
      </w:r>
      <w:r>
        <w:t>(</w:t>
      </w:r>
      <w:r w:rsidRPr="00336CDF">
        <w:t>Sofia</w:t>
      </w:r>
      <w:r w:rsidRPr="009E55BC">
        <w:t xml:space="preserve"> 2011</w:t>
      </w:r>
      <w:r>
        <w:t>,</w:t>
      </w:r>
      <w:r w:rsidRPr="009E55BC">
        <w:t xml:space="preserve"> 91-92</w:t>
      </w:r>
      <w:r>
        <w:t xml:space="preserve">) </w:t>
      </w:r>
      <w:r>
        <w:rPr>
          <w:i/>
          <w:iCs/>
        </w:rPr>
        <w:t>посвећен је</w:t>
      </w:r>
      <w:r w:rsidRPr="00DB34CC">
        <w:rPr>
          <w:i/>
          <w:iCs/>
        </w:rPr>
        <w:t xml:space="preserve"> важно</w:t>
      </w:r>
      <w:r>
        <w:rPr>
          <w:i/>
          <w:iCs/>
        </w:rPr>
        <w:t>ј</w:t>
      </w:r>
      <w:r w:rsidRPr="00DB34CC">
        <w:rPr>
          <w:i/>
          <w:iCs/>
        </w:rPr>
        <w:t xml:space="preserve"> типолошко</w:t>
      </w:r>
      <w:r>
        <w:rPr>
          <w:i/>
          <w:iCs/>
        </w:rPr>
        <w:t>ј</w:t>
      </w:r>
      <w:r w:rsidRPr="00DB34CC">
        <w:rPr>
          <w:i/>
          <w:iCs/>
        </w:rPr>
        <w:t xml:space="preserve"> појав</w:t>
      </w:r>
      <w:r>
        <w:rPr>
          <w:i/>
          <w:iCs/>
        </w:rPr>
        <w:t>и</w:t>
      </w:r>
      <w:r w:rsidRPr="00DB34CC">
        <w:rPr>
          <w:i/>
          <w:iCs/>
        </w:rPr>
        <w:t xml:space="preserve"> у позновизантијској црквеној архитектури. Нарочита вредност овог рада је </w:t>
      </w:r>
      <w:r>
        <w:rPr>
          <w:i/>
          <w:iCs/>
        </w:rPr>
        <w:t xml:space="preserve">у томе </w:t>
      </w:r>
      <w:r w:rsidRPr="00DB34CC">
        <w:rPr>
          <w:i/>
          <w:iCs/>
        </w:rPr>
        <w:t xml:space="preserve">што се </w:t>
      </w:r>
      <w:r>
        <w:rPr>
          <w:i/>
          <w:iCs/>
        </w:rPr>
        <w:t xml:space="preserve">у њему </w:t>
      </w:r>
      <w:r w:rsidRPr="00DB34CC">
        <w:rPr>
          <w:i/>
          <w:iCs/>
        </w:rPr>
        <w:t xml:space="preserve">трага за објашњењима настанка архитектонског сколопа </w:t>
      </w:r>
      <w:r>
        <w:rPr>
          <w:i/>
          <w:iCs/>
        </w:rPr>
        <w:t xml:space="preserve">светогорских литијских припрата </w:t>
      </w:r>
      <w:r w:rsidRPr="00DB34CC">
        <w:rPr>
          <w:i/>
          <w:iCs/>
        </w:rPr>
        <w:t>и његовог ширења унутар Свет</w:t>
      </w:r>
      <w:r>
        <w:rPr>
          <w:i/>
          <w:iCs/>
        </w:rPr>
        <w:t>е</w:t>
      </w:r>
      <w:r w:rsidRPr="00DB34CC">
        <w:rPr>
          <w:i/>
          <w:iCs/>
        </w:rPr>
        <w:t xml:space="preserve"> Горе, </w:t>
      </w:r>
      <w:r>
        <w:rPr>
          <w:i/>
          <w:iCs/>
        </w:rPr>
        <w:t>што</w:t>
      </w:r>
      <w:r w:rsidRPr="00DB34CC">
        <w:rPr>
          <w:i/>
          <w:iCs/>
        </w:rPr>
        <w:t xml:space="preserve"> до сада скоро уопште </w:t>
      </w:r>
      <w:r>
        <w:rPr>
          <w:i/>
          <w:iCs/>
        </w:rPr>
        <w:t xml:space="preserve">није </w:t>
      </w:r>
      <w:r w:rsidRPr="00DB34CC">
        <w:rPr>
          <w:i/>
          <w:iCs/>
        </w:rPr>
        <w:t>разматран</w:t>
      </w:r>
      <w:r>
        <w:rPr>
          <w:i/>
          <w:iCs/>
        </w:rPr>
        <w:t>о</w:t>
      </w:r>
      <w:r w:rsidRPr="00DB34CC">
        <w:rPr>
          <w:i/>
          <w:iCs/>
        </w:rPr>
        <w:t>, а поготову не у контексту богослужбених потреба и развоја исихастичког монаштва</w:t>
      </w:r>
      <w:r>
        <w:rPr>
          <w:i/>
          <w:iCs/>
        </w:rPr>
        <w:t>.</w:t>
      </w:r>
      <w:r w:rsidRPr="00DB34CC">
        <w:rPr>
          <w:i/>
          <w:iCs/>
        </w:rPr>
        <w:t xml:space="preserve"> </w:t>
      </w:r>
      <w:r>
        <w:rPr>
          <w:i/>
          <w:iCs/>
        </w:rPr>
        <w:t>По</w:t>
      </w:r>
      <w:r w:rsidRPr="00DB34CC">
        <w:rPr>
          <w:i/>
          <w:iCs/>
        </w:rPr>
        <w:t xml:space="preserve">што </w:t>
      </w:r>
      <w:r>
        <w:rPr>
          <w:i/>
          <w:iCs/>
        </w:rPr>
        <w:t xml:space="preserve">је то истраживање у </w:t>
      </w:r>
      <w:r w:rsidRPr="00DB34CC">
        <w:rPr>
          <w:i/>
          <w:iCs/>
        </w:rPr>
        <w:t>ова</w:t>
      </w:r>
      <w:r>
        <w:rPr>
          <w:i/>
          <w:iCs/>
        </w:rPr>
        <w:t>м</w:t>
      </w:r>
      <w:r w:rsidRPr="00DB34CC">
        <w:rPr>
          <w:i/>
          <w:iCs/>
        </w:rPr>
        <w:t xml:space="preserve"> рад</w:t>
      </w:r>
      <w:r>
        <w:rPr>
          <w:i/>
          <w:iCs/>
        </w:rPr>
        <w:t>у</w:t>
      </w:r>
      <w:r w:rsidRPr="00DB34CC">
        <w:rPr>
          <w:i/>
          <w:iCs/>
        </w:rPr>
        <w:t xml:space="preserve"> </w:t>
      </w:r>
      <w:r>
        <w:rPr>
          <w:i/>
          <w:iCs/>
        </w:rPr>
        <w:t>трасирано поуздано и на</w:t>
      </w:r>
      <w:r w:rsidRPr="00DB34CC">
        <w:rPr>
          <w:i/>
          <w:iCs/>
        </w:rPr>
        <w:t xml:space="preserve"> убедљивим аргументима</w:t>
      </w:r>
      <w:r>
        <w:rPr>
          <w:i/>
          <w:iCs/>
        </w:rPr>
        <w:t>, он, иако сажет, представља важну научну референцу за будућа проучавања литијских припрата</w:t>
      </w:r>
      <w:r w:rsidRPr="00DB34CC">
        <w:rPr>
          <w:i/>
          <w:iCs/>
        </w:rPr>
        <w:t>.</w:t>
      </w:r>
    </w:p>
    <w:p w:rsidR="00A22EB9" w:rsidRDefault="00A22EB9" w:rsidP="004845DC">
      <w:pPr>
        <w:ind w:firstLine="720"/>
        <w:jc w:val="both"/>
        <w:rPr>
          <w:i/>
          <w:iCs/>
        </w:rPr>
      </w:pPr>
    </w:p>
    <w:p w:rsidR="00A22EB9" w:rsidRDefault="00A22EB9" w:rsidP="007D5FEC">
      <w:pPr>
        <w:ind w:firstLine="720"/>
        <w:jc w:val="both"/>
        <w:rPr>
          <w:i/>
          <w:iCs/>
        </w:rPr>
      </w:pPr>
      <w:r>
        <w:rPr>
          <w:i/>
          <w:iCs/>
        </w:rPr>
        <w:t>Два т</w:t>
      </w:r>
      <w:r w:rsidRPr="00CB38BC">
        <w:rPr>
          <w:i/>
          <w:iCs/>
        </w:rPr>
        <w:t>екст</w:t>
      </w:r>
      <w:r>
        <w:rPr>
          <w:i/>
          <w:iCs/>
        </w:rPr>
        <w:t>а</w:t>
      </w:r>
      <w:r>
        <w:t xml:space="preserve"> </w:t>
      </w:r>
      <w:r w:rsidRPr="004F71D3">
        <w:rPr>
          <w:i/>
          <w:iCs/>
        </w:rPr>
        <w:t>“</w:t>
      </w:r>
      <w:r w:rsidRPr="00CB38BC">
        <w:rPr>
          <w:rStyle w:val="Emphasis"/>
          <w:i w:val="0"/>
          <w:iCs w:val="0"/>
        </w:rPr>
        <w:t>Phialai</w:t>
      </w:r>
      <w:r w:rsidRPr="004F71D3">
        <w:rPr>
          <w:rStyle w:val="Emphasis"/>
          <w:i w:val="0"/>
          <w:iCs w:val="0"/>
        </w:rPr>
        <w:t xml:space="preserve"> </w:t>
      </w:r>
      <w:r w:rsidRPr="00CB38BC">
        <w:rPr>
          <w:rStyle w:val="Emphasis"/>
          <w:i w:val="0"/>
          <w:iCs w:val="0"/>
        </w:rPr>
        <w:t>on</w:t>
      </w:r>
      <w:r w:rsidRPr="004F71D3">
        <w:rPr>
          <w:rStyle w:val="Emphasis"/>
          <w:i w:val="0"/>
          <w:iCs w:val="0"/>
        </w:rPr>
        <w:t xml:space="preserve"> </w:t>
      </w:r>
      <w:r w:rsidRPr="00CB38BC">
        <w:rPr>
          <w:rStyle w:val="Emphasis"/>
          <w:i w:val="0"/>
          <w:iCs w:val="0"/>
        </w:rPr>
        <w:t>Mount</w:t>
      </w:r>
      <w:r w:rsidRPr="004F71D3">
        <w:rPr>
          <w:rStyle w:val="Emphasis"/>
          <w:i w:val="0"/>
          <w:iCs w:val="0"/>
        </w:rPr>
        <w:t xml:space="preserve"> </w:t>
      </w:r>
      <w:r w:rsidRPr="00CB38BC">
        <w:rPr>
          <w:rStyle w:val="Emphasis"/>
          <w:i w:val="0"/>
          <w:iCs w:val="0"/>
        </w:rPr>
        <w:t>Athos</w:t>
      </w:r>
      <w:r w:rsidRPr="004F71D3">
        <w:rPr>
          <w:rStyle w:val="Emphasis"/>
          <w:i w:val="0"/>
          <w:iCs w:val="0"/>
        </w:rPr>
        <w:t xml:space="preserve"> </w:t>
      </w:r>
      <w:r w:rsidRPr="00CB38BC">
        <w:rPr>
          <w:rStyle w:val="Emphasis"/>
          <w:i w:val="0"/>
          <w:iCs w:val="0"/>
        </w:rPr>
        <w:t>in</w:t>
      </w:r>
      <w:r w:rsidRPr="004F71D3">
        <w:rPr>
          <w:rStyle w:val="Emphasis"/>
          <w:i w:val="0"/>
          <w:iCs w:val="0"/>
        </w:rPr>
        <w:t xml:space="preserve"> </w:t>
      </w:r>
      <w:r w:rsidRPr="00CB38BC">
        <w:rPr>
          <w:rStyle w:val="Emphasis"/>
          <w:i w:val="0"/>
          <w:iCs w:val="0"/>
        </w:rPr>
        <w:t>the</w:t>
      </w:r>
      <w:r w:rsidRPr="004F71D3">
        <w:rPr>
          <w:rStyle w:val="Emphasis"/>
          <w:i w:val="0"/>
          <w:iCs w:val="0"/>
        </w:rPr>
        <w:t xml:space="preserve"> </w:t>
      </w:r>
      <w:r w:rsidRPr="00CB38BC">
        <w:rPr>
          <w:rStyle w:val="Emphasis"/>
          <w:i w:val="0"/>
          <w:iCs w:val="0"/>
        </w:rPr>
        <w:t>Middle</w:t>
      </w:r>
      <w:r w:rsidRPr="004F71D3">
        <w:rPr>
          <w:rStyle w:val="Emphasis"/>
          <w:i w:val="0"/>
          <w:iCs w:val="0"/>
        </w:rPr>
        <w:t xml:space="preserve"> </w:t>
      </w:r>
      <w:r w:rsidRPr="00CB38BC">
        <w:rPr>
          <w:rStyle w:val="Emphasis"/>
          <w:i w:val="0"/>
          <w:iCs w:val="0"/>
        </w:rPr>
        <w:t>Byzantine</w:t>
      </w:r>
      <w:r w:rsidRPr="004F71D3">
        <w:rPr>
          <w:rStyle w:val="Emphasis"/>
          <w:i w:val="0"/>
          <w:iCs w:val="0"/>
        </w:rPr>
        <w:t xml:space="preserve"> </w:t>
      </w:r>
      <w:r w:rsidRPr="00CB38BC">
        <w:rPr>
          <w:rStyle w:val="Emphasis"/>
          <w:i w:val="0"/>
          <w:iCs w:val="0"/>
        </w:rPr>
        <w:t>Period</w:t>
      </w:r>
      <w:r w:rsidRPr="004F71D3">
        <w:rPr>
          <w:rStyle w:val="Emphasis"/>
          <w:i w:val="0"/>
          <w:iCs w:val="0"/>
        </w:rPr>
        <w:t xml:space="preserve">: </w:t>
      </w:r>
      <w:r w:rsidRPr="00CB38BC">
        <w:rPr>
          <w:rStyle w:val="Emphasis"/>
          <w:i w:val="0"/>
          <w:iCs w:val="0"/>
        </w:rPr>
        <w:t>Some</w:t>
      </w:r>
      <w:r w:rsidRPr="004F71D3">
        <w:rPr>
          <w:rStyle w:val="Emphasis"/>
          <w:i w:val="0"/>
          <w:iCs w:val="0"/>
        </w:rPr>
        <w:t xml:space="preserve"> </w:t>
      </w:r>
      <w:r w:rsidRPr="00CB38BC">
        <w:rPr>
          <w:rStyle w:val="Emphasis"/>
          <w:i w:val="0"/>
          <w:iCs w:val="0"/>
        </w:rPr>
        <w:t>Observations</w:t>
      </w:r>
      <w:r w:rsidRPr="004F71D3">
        <w:rPr>
          <w:rStyle w:val="Emphasis"/>
          <w:i w:val="0"/>
          <w:iCs w:val="0"/>
        </w:rPr>
        <w:t xml:space="preserve"> </w:t>
      </w:r>
      <w:r w:rsidRPr="00CB38BC">
        <w:rPr>
          <w:rStyle w:val="Emphasis"/>
          <w:i w:val="0"/>
          <w:iCs w:val="0"/>
        </w:rPr>
        <w:t>on</w:t>
      </w:r>
      <w:r w:rsidRPr="004F71D3">
        <w:rPr>
          <w:rStyle w:val="Emphasis"/>
          <w:i w:val="0"/>
          <w:iCs w:val="0"/>
        </w:rPr>
        <w:t xml:space="preserve"> </w:t>
      </w:r>
      <w:r w:rsidRPr="00CB38BC">
        <w:rPr>
          <w:rStyle w:val="Emphasis"/>
          <w:i w:val="0"/>
          <w:iCs w:val="0"/>
        </w:rPr>
        <w:t>Their</w:t>
      </w:r>
      <w:r w:rsidRPr="004F71D3">
        <w:rPr>
          <w:rStyle w:val="Emphasis"/>
          <w:i w:val="0"/>
          <w:iCs w:val="0"/>
        </w:rPr>
        <w:t xml:space="preserve"> </w:t>
      </w:r>
      <w:r w:rsidRPr="00CB38BC">
        <w:rPr>
          <w:rStyle w:val="Emphasis"/>
          <w:i w:val="0"/>
          <w:iCs w:val="0"/>
        </w:rPr>
        <w:t>Location</w:t>
      </w:r>
      <w:r w:rsidRPr="004F71D3">
        <w:rPr>
          <w:rStyle w:val="Emphasis"/>
          <w:i w:val="0"/>
          <w:iCs w:val="0"/>
        </w:rPr>
        <w:t xml:space="preserve">, </w:t>
      </w:r>
      <w:r w:rsidRPr="00CB38BC">
        <w:rPr>
          <w:rStyle w:val="Emphasis"/>
          <w:i w:val="0"/>
          <w:iCs w:val="0"/>
        </w:rPr>
        <w:t>Setting</w:t>
      </w:r>
      <w:r w:rsidRPr="004F71D3">
        <w:rPr>
          <w:rStyle w:val="Emphasis"/>
          <w:i w:val="0"/>
          <w:iCs w:val="0"/>
        </w:rPr>
        <w:t xml:space="preserve">, </w:t>
      </w:r>
      <w:r w:rsidRPr="00CB38BC">
        <w:rPr>
          <w:rStyle w:val="Emphasis"/>
          <w:i w:val="0"/>
          <w:iCs w:val="0"/>
        </w:rPr>
        <w:t>and</w:t>
      </w:r>
      <w:r w:rsidRPr="004F71D3">
        <w:rPr>
          <w:rStyle w:val="Emphasis"/>
          <w:i w:val="0"/>
          <w:iCs w:val="0"/>
        </w:rPr>
        <w:t xml:space="preserve"> </w:t>
      </w:r>
      <w:r w:rsidRPr="00CB38BC">
        <w:rPr>
          <w:rStyle w:val="Emphasis"/>
          <w:i w:val="0"/>
          <w:iCs w:val="0"/>
        </w:rPr>
        <w:t>Use</w:t>
      </w:r>
      <w:r w:rsidRPr="004F71D3">
        <w:rPr>
          <w:rStyle w:val="Emphasis"/>
          <w:i w:val="0"/>
          <w:iCs w:val="0"/>
        </w:rPr>
        <w:t>”</w:t>
      </w:r>
      <w:r w:rsidRPr="004F71D3">
        <w:rPr>
          <w:i/>
          <w:iCs/>
        </w:rPr>
        <w:t xml:space="preserve"> </w:t>
      </w:r>
      <w:r w:rsidRPr="00CB38BC">
        <w:rPr>
          <w:i/>
          <w:iCs/>
        </w:rPr>
        <w:t>и</w:t>
      </w:r>
      <w:r w:rsidRPr="004F71D3">
        <w:rPr>
          <w:i/>
          <w:iCs/>
        </w:rPr>
        <w:t xml:space="preserve"> “</w:t>
      </w:r>
      <w:r w:rsidRPr="00CB38BC">
        <w:rPr>
          <w:rStyle w:val="Emphasis"/>
          <w:i w:val="0"/>
          <w:iCs w:val="0"/>
        </w:rPr>
        <w:t>Dwelling</w:t>
      </w:r>
      <w:r w:rsidRPr="004F71D3">
        <w:rPr>
          <w:rStyle w:val="Emphasis"/>
          <w:i w:val="0"/>
          <w:iCs w:val="0"/>
        </w:rPr>
        <w:t xml:space="preserve"> </w:t>
      </w:r>
      <w:r w:rsidRPr="00CB38BC">
        <w:rPr>
          <w:rStyle w:val="Emphasis"/>
          <w:i w:val="0"/>
          <w:iCs w:val="0"/>
        </w:rPr>
        <w:t>within</w:t>
      </w:r>
      <w:r w:rsidRPr="004F71D3">
        <w:rPr>
          <w:rStyle w:val="Emphasis"/>
          <w:i w:val="0"/>
          <w:iCs w:val="0"/>
        </w:rPr>
        <w:t xml:space="preserve"> </w:t>
      </w:r>
      <w:r w:rsidRPr="00CB38BC">
        <w:rPr>
          <w:rStyle w:val="Emphasis"/>
          <w:i w:val="0"/>
          <w:iCs w:val="0"/>
        </w:rPr>
        <w:t>the</w:t>
      </w:r>
      <w:r w:rsidRPr="004F71D3">
        <w:rPr>
          <w:rStyle w:val="Emphasis"/>
          <w:i w:val="0"/>
          <w:iCs w:val="0"/>
        </w:rPr>
        <w:t xml:space="preserve"> </w:t>
      </w:r>
      <w:r w:rsidRPr="00CB38BC">
        <w:rPr>
          <w:rStyle w:val="Emphasis"/>
          <w:i w:val="0"/>
          <w:iCs w:val="0"/>
        </w:rPr>
        <w:t>Holy</w:t>
      </w:r>
      <w:r w:rsidRPr="004F71D3">
        <w:rPr>
          <w:rStyle w:val="Emphasis"/>
          <w:i w:val="0"/>
          <w:iCs w:val="0"/>
        </w:rPr>
        <w:t xml:space="preserve">: </w:t>
      </w:r>
      <w:r w:rsidRPr="00CB38BC">
        <w:rPr>
          <w:rStyle w:val="Emphasis"/>
          <w:i w:val="0"/>
          <w:iCs w:val="0"/>
        </w:rPr>
        <w:t>Accommodation</w:t>
      </w:r>
      <w:r w:rsidRPr="004F71D3">
        <w:rPr>
          <w:rStyle w:val="Emphasis"/>
          <w:i w:val="0"/>
          <w:iCs w:val="0"/>
        </w:rPr>
        <w:t xml:space="preserve"> </w:t>
      </w:r>
      <w:r w:rsidRPr="00CB38BC">
        <w:rPr>
          <w:rStyle w:val="Emphasis"/>
          <w:i w:val="0"/>
          <w:iCs w:val="0"/>
        </w:rPr>
        <w:t>of</w:t>
      </w:r>
      <w:r w:rsidRPr="004F71D3">
        <w:rPr>
          <w:rStyle w:val="Emphasis"/>
          <w:i w:val="0"/>
          <w:iCs w:val="0"/>
        </w:rPr>
        <w:t xml:space="preserve"> </w:t>
      </w:r>
      <w:r w:rsidRPr="00CB38BC">
        <w:rPr>
          <w:rStyle w:val="Emphasis"/>
          <w:i w:val="0"/>
          <w:iCs w:val="0"/>
        </w:rPr>
        <w:t>a</w:t>
      </w:r>
      <w:r w:rsidRPr="004F71D3">
        <w:rPr>
          <w:rStyle w:val="Emphasis"/>
          <w:i w:val="0"/>
          <w:iCs w:val="0"/>
        </w:rPr>
        <w:t xml:space="preserve"> </w:t>
      </w:r>
      <w:r w:rsidRPr="00CB38BC">
        <w:rPr>
          <w:rStyle w:val="Emphasis"/>
          <w:i w:val="0"/>
          <w:iCs w:val="0"/>
        </w:rPr>
        <w:t>Monastic</w:t>
      </w:r>
      <w:r w:rsidRPr="004F71D3">
        <w:rPr>
          <w:rStyle w:val="Emphasis"/>
          <w:i w:val="0"/>
          <w:iCs w:val="0"/>
        </w:rPr>
        <w:t xml:space="preserve"> </w:t>
      </w:r>
      <w:r w:rsidRPr="00CB38BC">
        <w:rPr>
          <w:rStyle w:val="Emphasis"/>
          <w:i w:val="0"/>
          <w:iCs w:val="0"/>
        </w:rPr>
        <w:t>Cell</w:t>
      </w:r>
      <w:r w:rsidRPr="004F71D3">
        <w:rPr>
          <w:rStyle w:val="Emphasis"/>
          <w:i w:val="0"/>
          <w:iCs w:val="0"/>
        </w:rPr>
        <w:t xml:space="preserve"> </w:t>
      </w:r>
      <w:r w:rsidRPr="00CB38BC">
        <w:rPr>
          <w:rStyle w:val="Emphasis"/>
          <w:i w:val="0"/>
          <w:iCs w:val="0"/>
        </w:rPr>
        <w:t>in</w:t>
      </w:r>
      <w:r w:rsidRPr="004F71D3">
        <w:rPr>
          <w:rStyle w:val="Emphasis"/>
          <w:i w:val="0"/>
          <w:iCs w:val="0"/>
        </w:rPr>
        <w:t xml:space="preserve"> </w:t>
      </w:r>
      <w:r w:rsidRPr="00CB38BC">
        <w:rPr>
          <w:rStyle w:val="Emphasis"/>
          <w:i w:val="0"/>
          <w:iCs w:val="0"/>
        </w:rPr>
        <w:t>the</w:t>
      </w:r>
      <w:r w:rsidRPr="004F71D3">
        <w:rPr>
          <w:rStyle w:val="Emphasis"/>
          <w:i w:val="0"/>
          <w:iCs w:val="0"/>
        </w:rPr>
        <w:t xml:space="preserve"> </w:t>
      </w:r>
      <w:r w:rsidRPr="00CB38BC">
        <w:rPr>
          <w:rStyle w:val="Emphasis"/>
          <w:i w:val="0"/>
          <w:iCs w:val="0"/>
        </w:rPr>
        <w:t>Kat</w:t>
      </w:r>
      <w:r w:rsidRPr="004F71D3">
        <w:rPr>
          <w:rStyle w:val="Emphasis"/>
          <w:i w:val="0"/>
          <w:iCs w:val="0"/>
        </w:rPr>
        <w:t>ē</w:t>
      </w:r>
      <w:r w:rsidRPr="00CB38BC">
        <w:rPr>
          <w:rStyle w:val="Emphasis"/>
          <w:i w:val="0"/>
          <w:iCs w:val="0"/>
        </w:rPr>
        <w:t>choumena</w:t>
      </w:r>
      <w:r w:rsidRPr="004F71D3">
        <w:rPr>
          <w:rStyle w:val="Emphasis"/>
          <w:i w:val="0"/>
          <w:iCs w:val="0"/>
        </w:rPr>
        <w:t xml:space="preserve"> </w:t>
      </w:r>
      <w:r w:rsidRPr="00CB38BC">
        <w:rPr>
          <w:rStyle w:val="Emphasis"/>
          <w:i w:val="0"/>
          <w:iCs w:val="0"/>
        </w:rPr>
        <w:t>at</w:t>
      </w:r>
      <w:r w:rsidRPr="004F71D3">
        <w:rPr>
          <w:rStyle w:val="Emphasis"/>
          <w:i w:val="0"/>
          <w:iCs w:val="0"/>
        </w:rPr>
        <w:t xml:space="preserve"> </w:t>
      </w:r>
      <w:r w:rsidRPr="00CB38BC">
        <w:rPr>
          <w:rStyle w:val="Emphasis"/>
          <w:i w:val="0"/>
          <w:iCs w:val="0"/>
        </w:rPr>
        <w:t>Great</w:t>
      </w:r>
      <w:r w:rsidRPr="004F71D3">
        <w:rPr>
          <w:rStyle w:val="Emphasis"/>
          <w:i w:val="0"/>
          <w:iCs w:val="0"/>
        </w:rPr>
        <w:t xml:space="preserve"> </w:t>
      </w:r>
      <w:r w:rsidRPr="00CB38BC">
        <w:rPr>
          <w:rStyle w:val="Emphasis"/>
          <w:i w:val="0"/>
          <w:iCs w:val="0"/>
        </w:rPr>
        <w:t>Lavra</w:t>
      </w:r>
      <w:r w:rsidRPr="004F71D3">
        <w:rPr>
          <w:rStyle w:val="Emphasis"/>
          <w:i w:val="0"/>
          <w:iCs w:val="0"/>
        </w:rPr>
        <w:t xml:space="preserve"> (</w:t>
      </w:r>
      <w:r w:rsidRPr="00CB38BC">
        <w:rPr>
          <w:rStyle w:val="Emphasis"/>
          <w:i w:val="0"/>
          <w:iCs w:val="0"/>
        </w:rPr>
        <w:t>Mount</w:t>
      </w:r>
      <w:r w:rsidRPr="004F71D3">
        <w:rPr>
          <w:rStyle w:val="Emphasis"/>
          <w:i w:val="0"/>
          <w:iCs w:val="0"/>
        </w:rPr>
        <w:t xml:space="preserve"> </w:t>
      </w:r>
      <w:r w:rsidRPr="00CB38BC">
        <w:rPr>
          <w:rStyle w:val="Emphasis"/>
          <w:i w:val="0"/>
          <w:iCs w:val="0"/>
        </w:rPr>
        <w:t>Athos</w:t>
      </w:r>
      <w:r w:rsidRPr="004F71D3">
        <w:rPr>
          <w:rStyle w:val="Emphasis"/>
          <w:i w:val="0"/>
          <w:iCs w:val="0"/>
        </w:rPr>
        <w:t xml:space="preserve">) </w:t>
      </w:r>
      <w:r w:rsidRPr="00CB38BC">
        <w:rPr>
          <w:rStyle w:val="Emphasis"/>
          <w:i w:val="0"/>
          <w:iCs w:val="0"/>
        </w:rPr>
        <w:t>and</w:t>
      </w:r>
      <w:r w:rsidRPr="004F71D3">
        <w:rPr>
          <w:rStyle w:val="Emphasis"/>
          <w:i w:val="0"/>
          <w:iCs w:val="0"/>
        </w:rPr>
        <w:t xml:space="preserve"> </w:t>
      </w:r>
      <w:r w:rsidRPr="00CB38BC">
        <w:rPr>
          <w:rStyle w:val="Emphasis"/>
          <w:i w:val="0"/>
          <w:iCs w:val="0"/>
        </w:rPr>
        <w:t>Other</w:t>
      </w:r>
      <w:r w:rsidRPr="004F71D3">
        <w:rPr>
          <w:rStyle w:val="Emphasis"/>
          <w:i w:val="0"/>
          <w:iCs w:val="0"/>
        </w:rPr>
        <w:t xml:space="preserve"> </w:t>
      </w:r>
      <w:r w:rsidRPr="00CB38BC">
        <w:rPr>
          <w:rStyle w:val="Emphasis"/>
          <w:i w:val="0"/>
          <w:iCs w:val="0"/>
        </w:rPr>
        <w:t>Middle</w:t>
      </w:r>
      <w:r w:rsidRPr="004F71D3">
        <w:rPr>
          <w:rStyle w:val="Emphasis"/>
          <w:i w:val="0"/>
          <w:iCs w:val="0"/>
        </w:rPr>
        <w:t xml:space="preserve"> </w:t>
      </w:r>
      <w:r w:rsidRPr="00CB38BC">
        <w:rPr>
          <w:rStyle w:val="Emphasis"/>
          <w:i w:val="0"/>
          <w:iCs w:val="0"/>
        </w:rPr>
        <w:t>Byzantine</w:t>
      </w:r>
      <w:r w:rsidRPr="004F71D3">
        <w:rPr>
          <w:rStyle w:val="Emphasis"/>
          <w:i w:val="0"/>
          <w:iCs w:val="0"/>
        </w:rPr>
        <w:t xml:space="preserve"> </w:t>
      </w:r>
      <w:r w:rsidRPr="00CB38BC">
        <w:rPr>
          <w:rStyle w:val="Emphasis"/>
          <w:i w:val="0"/>
          <w:iCs w:val="0"/>
        </w:rPr>
        <w:t>Monasteries</w:t>
      </w:r>
      <w:r w:rsidRPr="004F71D3">
        <w:rPr>
          <w:rStyle w:val="Emphasis"/>
          <w:i w:val="0"/>
          <w:iCs w:val="0"/>
        </w:rPr>
        <w:t>”</w:t>
      </w:r>
      <w:r>
        <w:rPr>
          <w:rStyle w:val="Emphasis"/>
        </w:rPr>
        <w:t xml:space="preserve"> – </w:t>
      </w:r>
      <w:r w:rsidRPr="004F71D3">
        <w:rPr>
          <w:rStyle w:val="Emphasis"/>
        </w:rPr>
        <w:t xml:space="preserve"> </w:t>
      </w:r>
      <w:r>
        <w:rPr>
          <w:rStyle w:val="Emphasis"/>
        </w:rPr>
        <w:t xml:space="preserve">објављена </w:t>
      </w:r>
      <w:r>
        <w:rPr>
          <w:i/>
          <w:iCs/>
        </w:rPr>
        <w:t>као а</w:t>
      </w:r>
      <w:r w:rsidRPr="00DB34CC">
        <w:rPr>
          <w:i/>
          <w:iCs/>
        </w:rPr>
        <w:t>пстракти два конгресна излагања</w:t>
      </w:r>
      <w:r>
        <w:rPr>
          <w:rStyle w:val="Emphasis"/>
        </w:rPr>
        <w:t xml:space="preserve"> у</w:t>
      </w:r>
      <w:r w:rsidRPr="004F71D3">
        <w:rPr>
          <w:rStyle w:val="Emphasis"/>
        </w:rPr>
        <w:t xml:space="preserve"> </w:t>
      </w:r>
      <w:r w:rsidRPr="00CB38BC">
        <w:t>Proceedings</w:t>
      </w:r>
      <w:r w:rsidRPr="004F71D3">
        <w:t xml:space="preserve"> </w:t>
      </w:r>
      <w:r w:rsidRPr="00CB38BC">
        <w:t>of</w:t>
      </w:r>
      <w:r w:rsidRPr="004F71D3">
        <w:t xml:space="preserve"> </w:t>
      </w:r>
      <w:r w:rsidRPr="00CB38BC">
        <w:t>the</w:t>
      </w:r>
      <w:r w:rsidRPr="004F71D3">
        <w:t xml:space="preserve"> 23</w:t>
      </w:r>
      <w:r w:rsidRPr="00CB38BC">
        <w:t>rd</w:t>
      </w:r>
      <w:r w:rsidRPr="004F71D3">
        <w:t xml:space="preserve"> </w:t>
      </w:r>
      <w:r w:rsidRPr="00CB38BC">
        <w:t>International</w:t>
      </w:r>
      <w:r w:rsidRPr="004F71D3">
        <w:t xml:space="preserve"> </w:t>
      </w:r>
      <w:r w:rsidRPr="00CB38BC">
        <w:t>Congress</w:t>
      </w:r>
      <w:r w:rsidRPr="004F71D3">
        <w:t xml:space="preserve"> </w:t>
      </w:r>
      <w:r w:rsidRPr="00CB38BC">
        <w:t>of</w:t>
      </w:r>
      <w:r w:rsidRPr="004F71D3">
        <w:t xml:space="preserve"> </w:t>
      </w:r>
      <w:r w:rsidRPr="00CB38BC">
        <w:t>Byzantine</w:t>
      </w:r>
      <w:r w:rsidRPr="004F71D3">
        <w:t xml:space="preserve"> </w:t>
      </w:r>
      <w:r w:rsidRPr="00CB38BC">
        <w:t>Studies</w:t>
      </w:r>
      <w:r w:rsidRPr="004F71D3">
        <w:t xml:space="preserve">, </w:t>
      </w:r>
      <w:r w:rsidRPr="00CB38BC">
        <w:t>Belgrade</w:t>
      </w:r>
      <w:r w:rsidRPr="004F71D3">
        <w:t xml:space="preserve">, 22-27 </w:t>
      </w:r>
      <w:r w:rsidRPr="00CB38BC">
        <w:t>August</w:t>
      </w:r>
      <w:r w:rsidRPr="004F71D3">
        <w:t xml:space="preserve"> 2016, </w:t>
      </w:r>
      <w:r w:rsidRPr="00CB38BC">
        <w:t>Thematic</w:t>
      </w:r>
      <w:r w:rsidRPr="004F71D3">
        <w:t xml:space="preserve"> </w:t>
      </w:r>
      <w:r w:rsidRPr="00CB38BC">
        <w:t>Sessions</w:t>
      </w:r>
      <w:r w:rsidRPr="004F71D3">
        <w:t xml:space="preserve"> </w:t>
      </w:r>
      <w:r w:rsidRPr="00CB38BC">
        <w:t>of</w:t>
      </w:r>
      <w:r w:rsidRPr="004F71D3">
        <w:t xml:space="preserve"> </w:t>
      </w:r>
      <w:r w:rsidRPr="00CB38BC">
        <w:t>Free</w:t>
      </w:r>
      <w:r w:rsidRPr="004F71D3">
        <w:t xml:space="preserve"> </w:t>
      </w:r>
      <w:r w:rsidRPr="00CB38BC">
        <w:t>Communications</w:t>
      </w:r>
      <w:r w:rsidRPr="004F71D3">
        <w:t xml:space="preserve"> </w:t>
      </w:r>
      <w:r>
        <w:t>(Belgrade</w:t>
      </w:r>
      <w:r w:rsidRPr="004F71D3">
        <w:t xml:space="preserve"> 2016, 414-415</w:t>
      </w:r>
      <w:r>
        <w:t xml:space="preserve">, </w:t>
      </w:r>
      <w:r w:rsidRPr="004F71D3">
        <w:t>760-761)</w:t>
      </w:r>
      <w:r>
        <w:t xml:space="preserve"> –</w:t>
      </w:r>
      <w:r w:rsidRPr="004F71D3">
        <w:t xml:space="preserve"> </w:t>
      </w:r>
      <w:r w:rsidRPr="004F71D3">
        <w:rPr>
          <w:i/>
          <w:iCs/>
        </w:rPr>
        <w:t>представљају к</w:t>
      </w:r>
      <w:r>
        <w:rPr>
          <w:i/>
          <w:iCs/>
        </w:rPr>
        <w:t>онцизн</w:t>
      </w:r>
      <w:r w:rsidRPr="004F71D3">
        <w:rPr>
          <w:i/>
          <w:iCs/>
        </w:rPr>
        <w:t>а и веома информативна сопштеања о појединим слабије п</w:t>
      </w:r>
      <w:r>
        <w:rPr>
          <w:i/>
          <w:iCs/>
        </w:rPr>
        <w:t>роучен</w:t>
      </w:r>
      <w:r w:rsidRPr="004F71D3">
        <w:rPr>
          <w:i/>
          <w:iCs/>
        </w:rPr>
        <w:t>им деловима византијских монашких целина,</w:t>
      </w:r>
      <w:r>
        <w:t xml:space="preserve"> </w:t>
      </w:r>
      <w:r>
        <w:rPr>
          <w:i/>
          <w:iCs/>
        </w:rPr>
        <w:t>заснован</w:t>
      </w:r>
      <w:r w:rsidRPr="00DB34CC">
        <w:rPr>
          <w:i/>
          <w:iCs/>
        </w:rPr>
        <w:t xml:space="preserve">а на материјалу и разматрањима </w:t>
      </w:r>
      <w:r>
        <w:rPr>
          <w:i/>
          <w:iCs/>
        </w:rPr>
        <w:t xml:space="preserve">произашлим из </w:t>
      </w:r>
      <w:r w:rsidRPr="00DB34CC">
        <w:rPr>
          <w:i/>
          <w:iCs/>
        </w:rPr>
        <w:t>истраживањ</w:t>
      </w:r>
      <w:r>
        <w:rPr>
          <w:i/>
          <w:iCs/>
        </w:rPr>
        <w:t>а</w:t>
      </w:r>
      <w:r w:rsidRPr="00DB34CC">
        <w:rPr>
          <w:i/>
          <w:iCs/>
        </w:rPr>
        <w:t xml:space="preserve"> </w:t>
      </w:r>
      <w:r>
        <w:rPr>
          <w:i/>
          <w:iCs/>
        </w:rPr>
        <w:t xml:space="preserve">теме кандидатове </w:t>
      </w:r>
      <w:r w:rsidRPr="00DB34CC">
        <w:rPr>
          <w:i/>
          <w:iCs/>
        </w:rPr>
        <w:t>докторск</w:t>
      </w:r>
      <w:r>
        <w:rPr>
          <w:i/>
          <w:iCs/>
        </w:rPr>
        <w:t>е</w:t>
      </w:r>
      <w:r w:rsidRPr="00DB34CC">
        <w:rPr>
          <w:i/>
          <w:iCs/>
        </w:rPr>
        <w:t xml:space="preserve"> дисертациј</w:t>
      </w:r>
      <w:r>
        <w:rPr>
          <w:i/>
          <w:iCs/>
        </w:rPr>
        <w:t>е</w:t>
      </w:r>
      <w:r w:rsidRPr="00DB34CC">
        <w:rPr>
          <w:i/>
          <w:iCs/>
        </w:rPr>
        <w:t>.</w:t>
      </w:r>
    </w:p>
    <w:p w:rsidR="00A22EB9" w:rsidRDefault="00A22EB9" w:rsidP="00CB38BC">
      <w:pPr>
        <w:jc w:val="both"/>
        <w:rPr>
          <w:i/>
          <w:iCs/>
        </w:rPr>
      </w:pPr>
    </w:p>
    <w:p w:rsidR="00A22EB9" w:rsidRDefault="00A22EB9" w:rsidP="00F407AB">
      <w:pPr>
        <w:ind w:firstLine="720"/>
        <w:jc w:val="both"/>
      </w:pPr>
      <w:r>
        <w:rPr>
          <w:i/>
          <w:iCs/>
        </w:rPr>
        <w:t>У т</w:t>
      </w:r>
      <w:r w:rsidRPr="00DB34CC">
        <w:rPr>
          <w:i/>
          <w:iCs/>
        </w:rPr>
        <w:t>еоријско-историјски</w:t>
      </w:r>
      <w:r>
        <w:rPr>
          <w:i/>
          <w:iCs/>
        </w:rPr>
        <w:t>ом</w:t>
      </w:r>
      <w:r w:rsidRPr="00DB34CC">
        <w:rPr>
          <w:i/>
          <w:iCs/>
        </w:rPr>
        <w:t xml:space="preserve"> чланак</w:t>
      </w:r>
      <w:r>
        <w:rPr>
          <w:i/>
          <w:iCs/>
        </w:rPr>
        <w:t xml:space="preserve">у </w:t>
      </w:r>
      <w:r w:rsidRPr="00F407AB">
        <w:t>“</w:t>
      </w:r>
      <w:r w:rsidRPr="00EC755A">
        <w:t>Politi</w:t>
      </w:r>
      <w:r w:rsidRPr="00F407AB">
        <w:t>č</w:t>
      </w:r>
      <w:r w:rsidRPr="00EC755A">
        <w:t>ka</w:t>
      </w:r>
      <w:r w:rsidRPr="00F407AB">
        <w:t xml:space="preserve"> </w:t>
      </w:r>
      <w:r w:rsidRPr="00EC755A">
        <w:t>ideologija</w:t>
      </w:r>
      <w:r w:rsidRPr="00F407AB">
        <w:t xml:space="preserve"> </w:t>
      </w:r>
      <w:r w:rsidRPr="00EC755A">
        <w:t>i</w:t>
      </w:r>
      <w:r w:rsidRPr="00F407AB">
        <w:t xml:space="preserve"> </w:t>
      </w:r>
      <w:r w:rsidRPr="00EC755A">
        <w:t>arhitektura</w:t>
      </w:r>
      <w:r w:rsidRPr="00F407AB">
        <w:t xml:space="preserve">”, </w:t>
      </w:r>
      <w:r w:rsidRPr="00F407AB">
        <w:rPr>
          <w:i/>
          <w:iCs/>
        </w:rPr>
        <w:t>објављен</w:t>
      </w:r>
      <w:r>
        <w:rPr>
          <w:i/>
          <w:iCs/>
        </w:rPr>
        <w:t>ом</w:t>
      </w:r>
      <w:r w:rsidRPr="00F407AB">
        <w:rPr>
          <w:i/>
          <w:iCs/>
        </w:rPr>
        <w:t xml:space="preserve"> у </w:t>
      </w:r>
      <w:r>
        <w:rPr>
          <w:i/>
          <w:iCs/>
        </w:rPr>
        <w:t>Zborniku</w:t>
      </w:r>
      <w:r w:rsidRPr="00F407AB">
        <w:rPr>
          <w:i/>
          <w:iCs/>
        </w:rPr>
        <w:t xml:space="preserve"> </w:t>
      </w:r>
      <w:r>
        <w:rPr>
          <w:i/>
          <w:iCs/>
        </w:rPr>
        <w:t>Beogradske</w:t>
      </w:r>
      <w:r w:rsidRPr="00F407AB">
        <w:rPr>
          <w:i/>
          <w:iCs/>
        </w:rPr>
        <w:t xml:space="preserve"> </w:t>
      </w:r>
      <w:r>
        <w:rPr>
          <w:i/>
          <w:iCs/>
        </w:rPr>
        <w:t>otvorene</w:t>
      </w:r>
      <w:r w:rsidRPr="00F407AB">
        <w:rPr>
          <w:i/>
          <w:iCs/>
        </w:rPr>
        <w:t xml:space="preserve"> š</w:t>
      </w:r>
      <w:r>
        <w:rPr>
          <w:i/>
          <w:iCs/>
        </w:rPr>
        <w:t>kole</w:t>
      </w:r>
      <w:r w:rsidRPr="00F407AB">
        <w:rPr>
          <w:i/>
          <w:iCs/>
        </w:rPr>
        <w:t xml:space="preserve">: </w:t>
      </w:r>
      <w:r>
        <w:rPr>
          <w:i/>
          <w:iCs/>
        </w:rPr>
        <w:t>Radovi</w:t>
      </w:r>
      <w:r w:rsidRPr="00F407AB">
        <w:rPr>
          <w:i/>
          <w:iCs/>
        </w:rPr>
        <w:t xml:space="preserve"> </w:t>
      </w:r>
      <w:r>
        <w:rPr>
          <w:i/>
          <w:iCs/>
        </w:rPr>
        <w:t>polaznika</w:t>
      </w:r>
      <w:r w:rsidRPr="00F407AB">
        <w:rPr>
          <w:i/>
          <w:iCs/>
        </w:rPr>
        <w:t xml:space="preserve"> </w:t>
      </w:r>
      <w:r>
        <w:rPr>
          <w:i/>
          <w:iCs/>
        </w:rPr>
        <w:t>generacije</w:t>
      </w:r>
      <w:r w:rsidRPr="00F407AB">
        <w:rPr>
          <w:i/>
          <w:iCs/>
        </w:rPr>
        <w:t xml:space="preserve"> 1995/1996, 1996/1997, 1997/1998</w:t>
      </w:r>
      <w:r>
        <w:t xml:space="preserve"> </w:t>
      </w:r>
      <w:r w:rsidRPr="00F407AB">
        <w:t>(</w:t>
      </w:r>
      <w:r>
        <w:t>Beograd</w:t>
      </w:r>
      <w:r w:rsidRPr="00F407AB">
        <w:t xml:space="preserve"> 1999</w:t>
      </w:r>
      <w:r>
        <w:t>,</w:t>
      </w:r>
      <w:r w:rsidRPr="00F407AB">
        <w:t xml:space="preserve"> 213-226)</w:t>
      </w:r>
      <w:r>
        <w:t xml:space="preserve">, </w:t>
      </w:r>
      <w:r>
        <w:rPr>
          <w:i/>
          <w:iCs/>
        </w:rPr>
        <w:t>а н</w:t>
      </w:r>
      <w:r w:rsidRPr="00DB34CC">
        <w:rPr>
          <w:i/>
          <w:iCs/>
        </w:rPr>
        <w:t>аписан</w:t>
      </w:r>
      <w:r>
        <w:rPr>
          <w:i/>
          <w:iCs/>
        </w:rPr>
        <w:t>ом</w:t>
      </w:r>
      <w:r w:rsidRPr="00DB34CC">
        <w:rPr>
          <w:i/>
          <w:iCs/>
        </w:rPr>
        <w:t xml:space="preserve"> у сарадњи са Јеленом Богдановић, </w:t>
      </w:r>
      <w:r>
        <w:rPr>
          <w:i/>
          <w:iCs/>
        </w:rPr>
        <w:t>размотрен ј</w:t>
      </w:r>
      <w:r w:rsidRPr="00DB34CC">
        <w:rPr>
          <w:i/>
          <w:iCs/>
        </w:rPr>
        <w:t>е однос политичке идеологије и архитектуре. Анализирана је феноменологија идеологије, нарочито политичке и њених манифестација у архитектури, односно идеологизације и политизације архитектуре. Као карактеристични примери, са сличним, али и различитим испољавањима овог проблема и обликовним резултатима, разматране су ситуације између два светска рата у тоталитарним режимима у Немачкој, Италији и Совјетском Савезу, као и у демократском систему Сједињених америчких држава. Овај рад је награђен од стране Београдске отворене школе као најбољи у области хуманистичких наука.</w:t>
      </w:r>
    </w:p>
    <w:p w:rsidR="00A22EB9" w:rsidRDefault="00A22EB9" w:rsidP="00F407AB">
      <w:pPr>
        <w:ind w:firstLine="720"/>
        <w:jc w:val="both"/>
      </w:pPr>
    </w:p>
    <w:p w:rsidR="00A22EB9" w:rsidRDefault="00A22EB9" w:rsidP="00F828D8">
      <w:pPr>
        <w:jc w:val="both"/>
        <w:rPr>
          <w:i/>
          <w:iCs/>
        </w:rPr>
      </w:pPr>
      <w:r>
        <w:rPr>
          <w:i/>
          <w:iCs/>
        </w:rPr>
        <w:t>Чланц</w:t>
      </w:r>
      <w:r w:rsidRPr="007D5FEC">
        <w:rPr>
          <w:i/>
          <w:iCs/>
        </w:rPr>
        <w:t>и</w:t>
      </w:r>
      <w:r>
        <w:t xml:space="preserve"> </w:t>
      </w:r>
      <w:r w:rsidRPr="00D74B24">
        <w:rPr>
          <w:lang w:val="sr-Latn-CS"/>
        </w:rPr>
        <w:t>„</w:t>
      </w:r>
      <w:r w:rsidRPr="006E0CBF">
        <w:rPr>
          <w:lang w:val="sr-Latn-CS"/>
        </w:rPr>
        <w:t>Остаци</w:t>
      </w:r>
      <w:r w:rsidRPr="00D74B24">
        <w:rPr>
          <w:lang w:val="sr-Latn-CS"/>
        </w:rPr>
        <w:t xml:space="preserve"> </w:t>
      </w:r>
      <w:r w:rsidRPr="006E0CBF">
        <w:rPr>
          <w:lang w:val="sr-Latn-CS"/>
        </w:rPr>
        <w:t>цркве</w:t>
      </w:r>
      <w:r w:rsidRPr="00D74B24">
        <w:rPr>
          <w:lang w:val="sr-Latn-CS"/>
        </w:rPr>
        <w:t xml:space="preserve"> </w:t>
      </w:r>
      <w:r w:rsidRPr="006E0CBF">
        <w:rPr>
          <w:lang w:val="sr-Latn-CS"/>
        </w:rPr>
        <w:t>на</w:t>
      </w:r>
      <w:r w:rsidRPr="00D74B24">
        <w:rPr>
          <w:lang w:val="sr-Latn-CS"/>
        </w:rPr>
        <w:t xml:space="preserve"> </w:t>
      </w:r>
      <w:r w:rsidRPr="006E0CBF">
        <w:rPr>
          <w:lang w:val="sr-Latn-CS"/>
        </w:rPr>
        <w:t>локалитету</w:t>
      </w:r>
      <w:r w:rsidRPr="00D74B24">
        <w:rPr>
          <w:lang w:val="sr-Latn-CS"/>
        </w:rPr>
        <w:t xml:space="preserve"> </w:t>
      </w:r>
      <w:r w:rsidRPr="006E0CBF">
        <w:rPr>
          <w:lang w:val="sr-Latn-CS"/>
        </w:rPr>
        <w:t>Манастириште</w:t>
      </w:r>
      <w:r w:rsidRPr="00D74B24">
        <w:rPr>
          <w:lang w:val="sr-Latn-CS"/>
        </w:rPr>
        <w:t xml:space="preserve"> </w:t>
      </w:r>
      <w:r w:rsidRPr="006E0CBF">
        <w:rPr>
          <w:lang w:val="sr-Latn-CS"/>
        </w:rPr>
        <w:t>св</w:t>
      </w:r>
      <w:r w:rsidRPr="00D74B24">
        <w:rPr>
          <w:lang w:val="sr-Latn-CS"/>
        </w:rPr>
        <w:t xml:space="preserve">. </w:t>
      </w:r>
      <w:r w:rsidRPr="006E0CBF">
        <w:rPr>
          <w:lang w:val="sr-Latn-CS"/>
        </w:rPr>
        <w:t>Петке</w:t>
      </w:r>
      <w:r w:rsidRPr="00D74B24">
        <w:rPr>
          <w:lang w:val="sr-Latn-CS"/>
        </w:rPr>
        <w:t xml:space="preserve"> </w:t>
      </w:r>
      <w:r w:rsidRPr="006E0CBF">
        <w:rPr>
          <w:lang w:val="sr-Latn-CS"/>
        </w:rPr>
        <w:t>Русалне</w:t>
      </w:r>
      <w:r w:rsidRPr="00D74B24">
        <w:rPr>
          <w:lang w:val="sr-Latn-CS"/>
        </w:rPr>
        <w:t xml:space="preserve"> </w:t>
      </w:r>
      <w:r w:rsidRPr="006E0CBF">
        <w:rPr>
          <w:lang w:val="sr-Latn-CS"/>
        </w:rPr>
        <w:t>код</w:t>
      </w:r>
      <w:r w:rsidRPr="00D74B24">
        <w:rPr>
          <w:lang w:val="sr-Latn-CS"/>
        </w:rPr>
        <w:t xml:space="preserve"> </w:t>
      </w:r>
      <w:r w:rsidRPr="006E0CBF">
        <w:rPr>
          <w:lang w:val="sr-Latn-CS"/>
        </w:rPr>
        <w:t>Сврљига</w:t>
      </w:r>
      <w:r w:rsidRPr="00D74B24">
        <w:rPr>
          <w:lang w:val="sr-Latn-CS"/>
        </w:rPr>
        <w:t xml:space="preserve">: </w:t>
      </w:r>
      <w:r w:rsidRPr="006E0CBF">
        <w:rPr>
          <w:lang w:val="sr-Latn-CS"/>
        </w:rPr>
        <w:t>Прелиминарни</w:t>
      </w:r>
      <w:r w:rsidRPr="00D74B24">
        <w:rPr>
          <w:lang w:val="sr-Latn-CS"/>
        </w:rPr>
        <w:t xml:space="preserve"> </w:t>
      </w:r>
      <w:r w:rsidRPr="006E0CBF">
        <w:rPr>
          <w:lang w:val="sr-Latn-CS"/>
        </w:rPr>
        <w:t>извештај</w:t>
      </w:r>
      <w:r>
        <w:rPr>
          <w:lang w:val="sr-Latn-CS"/>
        </w:rPr>
        <w:t>“</w:t>
      </w:r>
      <w:r w:rsidRPr="00D74B24">
        <w:rPr>
          <w:lang w:val="sr-Latn-CS"/>
        </w:rPr>
        <w:t xml:space="preserve"> </w:t>
      </w:r>
      <w:r w:rsidRPr="007D5FEC">
        <w:rPr>
          <w:i/>
          <w:iCs/>
        </w:rPr>
        <w:t>и</w:t>
      </w:r>
      <w:r w:rsidRPr="007D5FEC">
        <w:rPr>
          <w:lang w:val="sr-Latn-CS"/>
        </w:rPr>
        <w:t xml:space="preserve"> </w:t>
      </w:r>
      <w:r w:rsidRPr="00153550">
        <w:rPr>
          <w:lang w:val="sr-Latn-CS"/>
        </w:rPr>
        <w:t>„</w:t>
      </w:r>
      <w:r w:rsidRPr="00F407AB">
        <w:t>Истраживачки</w:t>
      </w:r>
      <w:r w:rsidRPr="00153550">
        <w:rPr>
          <w:lang w:val="sr-Latn-CS"/>
        </w:rPr>
        <w:t xml:space="preserve"> </w:t>
      </w:r>
      <w:r w:rsidRPr="00F407AB">
        <w:t>пројекат</w:t>
      </w:r>
      <w:r w:rsidRPr="00153550">
        <w:rPr>
          <w:lang w:val="sr-Latn-CS"/>
        </w:rPr>
        <w:t xml:space="preserve"> </w:t>
      </w:r>
      <w:r w:rsidRPr="00F407AB">
        <w:t>на</w:t>
      </w:r>
      <w:r w:rsidRPr="00153550">
        <w:rPr>
          <w:lang w:val="sr-Latn-CS"/>
        </w:rPr>
        <w:t xml:space="preserve"> </w:t>
      </w:r>
      <w:r w:rsidRPr="00F407AB">
        <w:t>Меникејској</w:t>
      </w:r>
      <w:r w:rsidRPr="00153550">
        <w:rPr>
          <w:lang w:val="sr-Latn-CS"/>
        </w:rPr>
        <w:t xml:space="preserve"> </w:t>
      </w:r>
      <w:r w:rsidRPr="00F407AB">
        <w:t>гори</w:t>
      </w:r>
      <w:r w:rsidRPr="00153550">
        <w:rPr>
          <w:lang w:val="sr-Latn-CS"/>
        </w:rPr>
        <w:t xml:space="preserve"> (Mount Menoikeion Research Project), </w:t>
      </w:r>
      <w:r w:rsidRPr="00F407AB">
        <w:t>Манастир</w:t>
      </w:r>
      <w:r w:rsidRPr="00153550">
        <w:rPr>
          <w:lang w:val="sr-Latn-CS"/>
        </w:rPr>
        <w:t xml:space="preserve"> </w:t>
      </w:r>
      <w:r w:rsidRPr="00F407AB">
        <w:t>св</w:t>
      </w:r>
      <w:r w:rsidRPr="00153550">
        <w:rPr>
          <w:lang w:val="sr-Latn-CS"/>
        </w:rPr>
        <w:t xml:space="preserve">. </w:t>
      </w:r>
      <w:r w:rsidRPr="0080675B">
        <w:rPr>
          <w:lang w:val="sr-Latn-CS"/>
        </w:rPr>
        <w:t>Јована</w:t>
      </w:r>
      <w:r w:rsidRPr="00D74B24">
        <w:rPr>
          <w:lang w:val="sr-Latn-CS"/>
        </w:rPr>
        <w:t xml:space="preserve"> </w:t>
      </w:r>
      <w:r w:rsidRPr="0080675B">
        <w:rPr>
          <w:lang w:val="sr-Latn-CS"/>
        </w:rPr>
        <w:t>Претече</w:t>
      </w:r>
      <w:r w:rsidRPr="00D74B24">
        <w:rPr>
          <w:lang w:val="sr-Latn-CS"/>
        </w:rPr>
        <w:t xml:space="preserve"> </w:t>
      </w:r>
      <w:r w:rsidRPr="0080675B">
        <w:rPr>
          <w:lang w:val="sr-Latn-CS"/>
        </w:rPr>
        <w:t>код</w:t>
      </w:r>
      <w:r w:rsidRPr="00D74B24">
        <w:rPr>
          <w:lang w:val="sr-Latn-CS"/>
        </w:rPr>
        <w:t xml:space="preserve"> </w:t>
      </w:r>
      <w:r w:rsidRPr="0080675B">
        <w:rPr>
          <w:lang w:val="sr-Latn-CS"/>
        </w:rPr>
        <w:t>Сера</w:t>
      </w:r>
      <w:r w:rsidRPr="00D74B24">
        <w:rPr>
          <w:lang w:val="sr-Latn-CS"/>
        </w:rPr>
        <w:t xml:space="preserve">, </w:t>
      </w:r>
      <w:r w:rsidRPr="0080675B">
        <w:rPr>
          <w:lang w:val="sr-Latn-CS"/>
        </w:rPr>
        <w:t>Грчка</w:t>
      </w:r>
      <w:r w:rsidRPr="00D74B24">
        <w:rPr>
          <w:lang w:val="sr-Latn-CS"/>
        </w:rPr>
        <w:t xml:space="preserve">, 16. </w:t>
      </w:r>
      <w:r w:rsidRPr="0080675B">
        <w:rPr>
          <w:lang w:val="sr-Latn-CS"/>
        </w:rPr>
        <w:t>јун</w:t>
      </w:r>
      <w:r w:rsidRPr="00D74B24">
        <w:rPr>
          <w:lang w:val="sr-Latn-CS"/>
        </w:rPr>
        <w:t xml:space="preserve"> – 1. </w:t>
      </w:r>
      <w:r w:rsidRPr="0080675B">
        <w:rPr>
          <w:lang w:val="sr-Latn-CS"/>
        </w:rPr>
        <w:t>јул</w:t>
      </w:r>
      <w:r w:rsidRPr="00D74B24">
        <w:rPr>
          <w:lang w:val="sr-Latn-CS"/>
        </w:rPr>
        <w:t xml:space="preserve"> 2007. </w:t>
      </w:r>
      <w:r w:rsidRPr="0080675B">
        <w:rPr>
          <w:lang w:val="sr-Latn-CS"/>
        </w:rPr>
        <w:t>године</w:t>
      </w:r>
      <w:r w:rsidRPr="00D74B24">
        <w:rPr>
          <w:lang w:val="sr-Latn-CS"/>
        </w:rPr>
        <w:t>“</w:t>
      </w:r>
      <w:r>
        <w:t xml:space="preserve">, </w:t>
      </w:r>
      <w:r w:rsidRPr="004E77E0">
        <w:rPr>
          <w:i/>
          <w:iCs/>
        </w:rPr>
        <w:t xml:space="preserve">публиковани у броју </w:t>
      </w:r>
      <w:r w:rsidRPr="004E77E0">
        <w:rPr>
          <w:i/>
          <w:iCs/>
          <w:lang w:val="sr-Latn-CS"/>
        </w:rPr>
        <w:t>27 (2003)</w:t>
      </w:r>
      <w:r w:rsidRPr="004E77E0">
        <w:rPr>
          <w:i/>
          <w:iCs/>
        </w:rPr>
        <w:t xml:space="preserve"> и броју </w:t>
      </w:r>
      <w:r w:rsidRPr="004E77E0">
        <w:rPr>
          <w:i/>
          <w:iCs/>
          <w:lang w:val="sr-Latn-CS"/>
        </w:rPr>
        <w:t>32 (2008)</w:t>
      </w:r>
      <w:r w:rsidRPr="004E77E0">
        <w:rPr>
          <w:i/>
          <w:iCs/>
        </w:rPr>
        <w:t xml:space="preserve"> часописа</w:t>
      </w:r>
      <w:r>
        <w:t xml:space="preserve"> </w:t>
      </w:r>
      <w:r w:rsidRPr="007D5FEC">
        <w:rPr>
          <w:lang w:val="sr-Latn-CS"/>
        </w:rPr>
        <w:t>Гласник Друштва конзерватора Србије</w:t>
      </w:r>
      <w:r>
        <w:t>,</w:t>
      </w:r>
      <w:r w:rsidRPr="00D74B24">
        <w:rPr>
          <w:lang w:val="sr-Latn-CS"/>
        </w:rPr>
        <w:t xml:space="preserve"> </w:t>
      </w:r>
      <w:r>
        <w:rPr>
          <w:i/>
          <w:iCs/>
        </w:rPr>
        <w:t>п</w:t>
      </w:r>
      <w:r w:rsidRPr="00DB34CC">
        <w:rPr>
          <w:i/>
          <w:iCs/>
        </w:rPr>
        <w:t xml:space="preserve">регледни </w:t>
      </w:r>
      <w:r>
        <w:rPr>
          <w:i/>
          <w:iCs/>
        </w:rPr>
        <w:t xml:space="preserve">су </w:t>
      </w:r>
      <w:r w:rsidRPr="00DB34CC">
        <w:rPr>
          <w:i/>
          <w:iCs/>
        </w:rPr>
        <w:t>радови у форми извештаја</w:t>
      </w:r>
      <w:r>
        <w:rPr>
          <w:i/>
          <w:iCs/>
        </w:rPr>
        <w:t xml:space="preserve">. Први доноси занимљиве податке о </w:t>
      </w:r>
      <w:r w:rsidRPr="00DB34CC">
        <w:rPr>
          <w:i/>
          <w:iCs/>
        </w:rPr>
        <w:t xml:space="preserve">раније непубликованим остацима средњовековне цркве и радовима започетим на њеном истраживању, </w:t>
      </w:r>
      <w:r>
        <w:rPr>
          <w:i/>
          <w:iCs/>
        </w:rPr>
        <w:t xml:space="preserve">а </w:t>
      </w:r>
      <w:r w:rsidRPr="00DB34CC">
        <w:rPr>
          <w:i/>
          <w:iCs/>
        </w:rPr>
        <w:t>други</w:t>
      </w:r>
      <w:r w:rsidRPr="007D5FEC">
        <w:rPr>
          <w:i/>
          <w:iCs/>
        </w:rPr>
        <w:t xml:space="preserve"> </w:t>
      </w:r>
      <w:r w:rsidRPr="00DB34CC">
        <w:rPr>
          <w:i/>
          <w:iCs/>
        </w:rPr>
        <w:t>о</w:t>
      </w:r>
      <w:r w:rsidRPr="007D5FEC">
        <w:rPr>
          <w:i/>
          <w:iCs/>
        </w:rPr>
        <w:t xml:space="preserve"> </w:t>
      </w:r>
      <w:r>
        <w:rPr>
          <w:i/>
          <w:iCs/>
        </w:rPr>
        <w:t>истраживачком пројекту</w:t>
      </w:r>
      <w:r w:rsidRPr="00DB34CC">
        <w:rPr>
          <w:i/>
          <w:iCs/>
        </w:rPr>
        <w:t xml:space="preserve"> </w:t>
      </w:r>
      <w:r>
        <w:rPr>
          <w:i/>
          <w:iCs/>
        </w:rPr>
        <w:t xml:space="preserve">оствареном </w:t>
      </w:r>
      <w:r w:rsidRPr="00DB34CC">
        <w:rPr>
          <w:i/>
          <w:iCs/>
        </w:rPr>
        <w:t xml:space="preserve">у </w:t>
      </w:r>
      <w:r>
        <w:rPr>
          <w:i/>
          <w:iCs/>
        </w:rPr>
        <w:t xml:space="preserve">познатом </w:t>
      </w:r>
      <w:r w:rsidRPr="00DB34CC">
        <w:rPr>
          <w:i/>
          <w:iCs/>
        </w:rPr>
        <w:t>грчком манастиру</w:t>
      </w:r>
      <w:r>
        <w:rPr>
          <w:i/>
          <w:iCs/>
        </w:rPr>
        <w:t xml:space="preserve"> покрај града Сера</w:t>
      </w:r>
      <w:r w:rsidRPr="00DB34CC">
        <w:rPr>
          <w:i/>
          <w:iCs/>
        </w:rPr>
        <w:t>.</w:t>
      </w:r>
    </w:p>
    <w:p w:rsidR="00A22EB9" w:rsidRDefault="00A22EB9" w:rsidP="007D5FEC">
      <w:pPr>
        <w:rPr>
          <w:i/>
          <w:iCs/>
        </w:rPr>
      </w:pPr>
    </w:p>
    <w:p w:rsidR="00A22EB9" w:rsidRDefault="00A22EB9" w:rsidP="004D43B3">
      <w:pPr>
        <w:ind w:firstLine="720"/>
        <w:jc w:val="both"/>
        <w:rPr>
          <w:i/>
          <w:iCs/>
        </w:rPr>
      </w:pPr>
      <w:r w:rsidRPr="005D0179">
        <w:rPr>
          <w:i/>
          <w:iCs/>
        </w:rPr>
        <w:t xml:space="preserve">Конференцијска </w:t>
      </w:r>
      <w:r>
        <w:rPr>
          <w:i/>
          <w:iCs/>
        </w:rPr>
        <w:t>саопште</w:t>
      </w:r>
      <w:r w:rsidRPr="005D0179">
        <w:rPr>
          <w:i/>
          <w:iCs/>
        </w:rPr>
        <w:t xml:space="preserve">ња </w:t>
      </w:r>
      <w:r w:rsidRPr="00F828D8">
        <w:t>“</w:t>
      </w:r>
      <w:r w:rsidRPr="006E0729">
        <w:t>A</w:t>
      </w:r>
      <w:r w:rsidRPr="00F828D8">
        <w:t xml:space="preserve"> </w:t>
      </w:r>
      <w:r w:rsidRPr="006E0729">
        <w:t>Shift</w:t>
      </w:r>
      <w:r w:rsidRPr="00F828D8">
        <w:t xml:space="preserve"> </w:t>
      </w:r>
      <w:r w:rsidRPr="006E0729">
        <w:t>in</w:t>
      </w:r>
      <w:r w:rsidRPr="00F828D8">
        <w:t xml:space="preserve"> </w:t>
      </w:r>
      <w:r w:rsidRPr="006E0729">
        <w:t>Athonite</w:t>
      </w:r>
      <w:r w:rsidRPr="00F828D8">
        <w:t xml:space="preserve"> </w:t>
      </w:r>
      <w:r>
        <w:t>Architecture</w:t>
      </w:r>
      <w:r w:rsidRPr="00F828D8">
        <w:t xml:space="preserve">: </w:t>
      </w:r>
      <w:r w:rsidRPr="006E0729">
        <w:t>The</w:t>
      </w:r>
      <w:r w:rsidRPr="00F828D8">
        <w:t xml:space="preserve"> </w:t>
      </w:r>
      <w:r w:rsidRPr="006E0729">
        <w:t>Narthex</w:t>
      </w:r>
      <w:r w:rsidRPr="00F828D8">
        <w:t xml:space="preserve"> </w:t>
      </w:r>
      <w:r w:rsidRPr="006E0729">
        <w:t>of</w:t>
      </w:r>
      <w:r w:rsidRPr="00F828D8">
        <w:t xml:space="preserve"> </w:t>
      </w:r>
      <w:r w:rsidRPr="006E0729">
        <w:t>Hilandar</w:t>
      </w:r>
      <w:r w:rsidRPr="00F828D8">
        <w:t>’</w:t>
      </w:r>
      <w:r w:rsidRPr="006E0729">
        <w:t>s</w:t>
      </w:r>
      <w:r w:rsidRPr="00F828D8">
        <w:t xml:space="preserve"> </w:t>
      </w:r>
      <w:r w:rsidRPr="004D43B3">
        <w:t>Katholikon” in Thirty-Sixth Annual Byzantine Studies</w:t>
      </w:r>
      <w:r w:rsidRPr="004D43B3">
        <w:rPr>
          <w:lang w:val="sr-Cyrl-CS"/>
        </w:rPr>
        <w:t xml:space="preserve"> </w:t>
      </w:r>
      <w:r w:rsidRPr="004D43B3">
        <w:t>Conference, 8-10 October 2010: Abstracts</w:t>
      </w:r>
      <w:r w:rsidRPr="004D43B3">
        <w:rPr>
          <w:lang w:val="sr-Cyrl-CS"/>
        </w:rPr>
        <w:t xml:space="preserve"> </w:t>
      </w:r>
      <w:r w:rsidRPr="00F828D8">
        <w:t>(</w:t>
      </w:r>
      <w:r>
        <w:t>Philadelphia</w:t>
      </w:r>
      <w:r w:rsidRPr="00F828D8">
        <w:t xml:space="preserve"> 2010</w:t>
      </w:r>
      <w:r>
        <w:t xml:space="preserve">) </w:t>
      </w:r>
      <w:r w:rsidRPr="00F828D8">
        <w:t xml:space="preserve"> 40-41</w:t>
      </w:r>
      <w:r>
        <w:t xml:space="preserve"> </w:t>
      </w:r>
      <w:r w:rsidRPr="004D43B3">
        <w:rPr>
          <w:i/>
          <w:iCs/>
        </w:rPr>
        <w:t>и</w:t>
      </w:r>
      <w:r>
        <w:t xml:space="preserve"> </w:t>
      </w:r>
      <w:r w:rsidRPr="00925B57">
        <w:t>“</w:t>
      </w:r>
      <w:r w:rsidRPr="00EC755A">
        <w:t>Middle</w:t>
      </w:r>
      <w:r w:rsidRPr="00925B57">
        <w:t xml:space="preserve">- </w:t>
      </w:r>
      <w:r w:rsidRPr="00EC755A">
        <w:t>and</w:t>
      </w:r>
      <w:r w:rsidRPr="00925B57">
        <w:t xml:space="preserve"> </w:t>
      </w:r>
      <w:r w:rsidRPr="00EC755A">
        <w:t>Late</w:t>
      </w:r>
      <w:r w:rsidRPr="00925B57">
        <w:t>-</w:t>
      </w:r>
      <w:r w:rsidRPr="00EC755A">
        <w:t>Byzantine</w:t>
      </w:r>
      <w:r w:rsidRPr="00925B57">
        <w:t xml:space="preserve"> </w:t>
      </w:r>
      <w:r w:rsidRPr="00EC755A">
        <w:t>Monastic</w:t>
      </w:r>
      <w:r w:rsidRPr="00925B57">
        <w:t xml:space="preserve"> </w:t>
      </w:r>
      <w:r w:rsidRPr="00EC755A">
        <w:t>Ossuaries</w:t>
      </w:r>
      <w:r w:rsidRPr="00925B57">
        <w:t xml:space="preserve">: </w:t>
      </w:r>
      <w:r w:rsidRPr="00EC755A">
        <w:t>Architecture</w:t>
      </w:r>
      <w:r w:rsidRPr="00925B57">
        <w:t xml:space="preserve">, </w:t>
      </w:r>
      <w:r w:rsidRPr="00EC755A">
        <w:t>L</w:t>
      </w:r>
      <w:r>
        <w:t>iturgical</w:t>
      </w:r>
      <w:r w:rsidRPr="00925B57">
        <w:t xml:space="preserve"> </w:t>
      </w:r>
      <w:r>
        <w:t>Function</w:t>
      </w:r>
      <w:r w:rsidRPr="00925B57">
        <w:t xml:space="preserve">, </w:t>
      </w:r>
      <w:r>
        <w:t>and</w:t>
      </w:r>
      <w:r w:rsidRPr="00925B57">
        <w:t xml:space="preserve"> </w:t>
      </w:r>
      <w:r>
        <w:t>Meaning</w:t>
      </w:r>
      <w:r w:rsidRPr="004D43B3">
        <w:t>”, in Thirty-Second Annual Byzantine Studies</w:t>
      </w:r>
      <w:r w:rsidRPr="004D43B3">
        <w:rPr>
          <w:lang w:val="sr-Cyrl-CS"/>
        </w:rPr>
        <w:t xml:space="preserve"> </w:t>
      </w:r>
      <w:r w:rsidRPr="004D43B3">
        <w:t>Conference, November 10-12, 2006: Abstracts</w:t>
      </w:r>
      <w:r w:rsidRPr="004D43B3">
        <w:rPr>
          <w:lang w:val="sr-Cyrl-CS"/>
        </w:rPr>
        <w:t xml:space="preserve"> </w:t>
      </w:r>
      <w:r w:rsidRPr="00925B57">
        <w:t>(</w:t>
      </w:r>
      <w:r w:rsidRPr="00EC755A">
        <w:t>Saint</w:t>
      </w:r>
      <w:r w:rsidRPr="00925B57">
        <w:t xml:space="preserve"> </w:t>
      </w:r>
      <w:r w:rsidRPr="00EC755A">
        <w:t>Louis</w:t>
      </w:r>
      <w:r w:rsidRPr="00925B57">
        <w:t xml:space="preserve"> </w:t>
      </w:r>
      <w:r w:rsidRPr="00EC755A">
        <w:t>MO</w:t>
      </w:r>
      <w:r>
        <w:t xml:space="preserve"> 2006, 12-13) </w:t>
      </w:r>
      <w:r w:rsidRPr="005D0179">
        <w:rPr>
          <w:i/>
          <w:iCs/>
        </w:rPr>
        <w:t xml:space="preserve">заснована </w:t>
      </w:r>
      <w:r>
        <w:rPr>
          <w:i/>
          <w:iCs/>
        </w:rPr>
        <w:t xml:space="preserve">су </w:t>
      </w:r>
      <w:r w:rsidRPr="005D0179">
        <w:rPr>
          <w:i/>
          <w:iCs/>
        </w:rPr>
        <w:t xml:space="preserve">на студијама слабо проучених архитектонских манифестација у византијском монаштву. Прво од њих бави се припратом у хиландарској главној цркви и околностима који су довели до њене појаве. Оне се налазе пре свега у променама везаним за монашко богослужење које се одигравају у истом периоду, односно прелазак са студитског на саваитски типик. Разматрана је и улога игумана Никодима у том процесу, као и других неких аспеката који су утицали на форму ове припрате, која је била новина за Свету Гору. </w:t>
      </w:r>
      <w:r>
        <w:rPr>
          <w:i/>
          <w:iCs/>
        </w:rPr>
        <w:t>У д</w:t>
      </w:r>
      <w:r w:rsidRPr="005D0179">
        <w:rPr>
          <w:i/>
          <w:iCs/>
        </w:rPr>
        <w:t>руго</w:t>
      </w:r>
      <w:r>
        <w:rPr>
          <w:i/>
          <w:iCs/>
        </w:rPr>
        <w:t>м</w:t>
      </w:r>
      <w:r w:rsidRPr="005D0179">
        <w:rPr>
          <w:i/>
          <w:iCs/>
        </w:rPr>
        <w:t xml:space="preserve"> </w:t>
      </w:r>
      <w:r>
        <w:rPr>
          <w:i/>
          <w:iCs/>
        </w:rPr>
        <w:t>саопште</w:t>
      </w:r>
      <w:r w:rsidRPr="005D0179">
        <w:rPr>
          <w:i/>
          <w:iCs/>
        </w:rPr>
        <w:t>њ</w:t>
      </w:r>
      <w:r>
        <w:rPr>
          <w:i/>
          <w:iCs/>
        </w:rPr>
        <w:t>у</w:t>
      </w:r>
      <w:r w:rsidRPr="005D0179">
        <w:rPr>
          <w:i/>
          <w:iCs/>
        </w:rPr>
        <w:t xml:space="preserve"> анализира</w:t>
      </w:r>
      <w:r>
        <w:rPr>
          <w:i/>
          <w:iCs/>
        </w:rPr>
        <w:t>не</w:t>
      </w:r>
      <w:r w:rsidRPr="005D0179">
        <w:rPr>
          <w:i/>
          <w:iCs/>
        </w:rPr>
        <w:t xml:space="preserve"> </w:t>
      </w:r>
      <w:r>
        <w:rPr>
          <w:i/>
          <w:iCs/>
        </w:rPr>
        <w:t xml:space="preserve">су </w:t>
      </w:r>
      <w:r w:rsidRPr="005D0179">
        <w:rPr>
          <w:i/>
          <w:iCs/>
        </w:rPr>
        <w:t>византијске монашке костурнице, посебно њихов</w:t>
      </w:r>
      <w:r>
        <w:rPr>
          <w:i/>
          <w:iCs/>
        </w:rPr>
        <w:t>а</w:t>
      </w:r>
      <w:r w:rsidRPr="005D0179">
        <w:rPr>
          <w:i/>
          <w:iCs/>
        </w:rPr>
        <w:t xml:space="preserve"> архитектур</w:t>
      </w:r>
      <w:r>
        <w:rPr>
          <w:i/>
          <w:iCs/>
        </w:rPr>
        <w:t>а</w:t>
      </w:r>
      <w:r w:rsidRPr="005D0179">
        <w:rPr>
          <w:i/>
          <w:iCs/>
        </w:rPr>
        <w:t xml:space="preserve">, </w:t>
      </w:r>
      <w:r>
        <w:rPr>
          <w:i/>
          <w:iCs/>
        </w:rPr>
        <w:t xml:space="preserve">уз </w:t>
      </w:r>
      <w:r w:rsidRPr="005D0179">
        <w:rPr>
          <w:i/>
          <w:iCs/>
        </w:rPr>
        <w:t>трага</w:t>
      </w:r>
      <w:r>
        <w:rPr>
          <w:i/>
          <w:iCs/>
        </w:rPr>
        <w:t>ње</w:t>
      </w:r>
      <w:r w:rsidRPr="005D0179">
        <w:rPr>
          <w:i/>
          <w:iCs/>
        </w:rPr>
        <w:t xml:space="preserve"> за богослужбеним и теолошко-значењским образложењем њиховог пр</w:t>
      </w:r>
      <w:r>
        <w:rPr>
          <w:i/>
          <w:iCs/>
        </w:rPr>
        <w:t>исуства у монашким обитељима</w:t>
      </w:r>
      <w:r w:rsidRPr="005D0179">
        <w:rPr>
          <w:i/>
          <w:iCs/>
        </w:rPr>
        <w:t>, као и њихове форме. Оба рада чине значајне доприносе у науци и очекује се публиковање њихових целовитих верзија.</w:t>
      </w:r>
    </w:p>
    <w:p w:rsidR="00A22EB9" w:rsidRDefault="00A22EB9" w:rsidP="004D43B3">
      <w:pPr>
        <w:ind w:firstLine="720"/>
        <w:jc w:val="both"/>
        <w:rPr>
          <w:i/>
          <w:iCs/>
        </w:rPr>
      </w:pPr>
    </w:p>
    <w:p w:rsidR="00A22EB9" w:rsidRDefault="00A22EB9" w:rsidP="006A1937">
      <w:pPr>
        <w:ind w:firstLine="720"/>
        <w:jc w:val="both"/>
        <w:rPr>
          <w:i/>
          <w:iCs/>
        </w:rPr>
      </w:pPr>
      <w:r w:rsidRPr="00DA7998">
        <w:rPr>
          <w:i/>
          <w:iCs/>
        </w:rPr>
        <w:t>До сада је најзначајнији и најопширнији рад кандидата његова докторска дисертација под насловом</w:t>
      </w:r>
      <w:r>
        <w:t xml:space="preserve"> </w:t>
      </w:r>
      <w:r w:rsidRPr="001E0598">
        <w:rPr>
          <w:lang w:val="sr-Latn-CS"/>
        </w:rPr>
        <w:t>“</w:t>
      </w:r>
      <w:r w:rsidRPr="00FC38DB">
        <w:rPr>
          <w:lang w:val="sr-Latn-CS"/>
        </w:rPr>
        <w:t>At</w:t>
      </w:r>
      <w:r w:rsidRPr="001E0598">
        <w:rPr>
          <w:lang w:val="sr-Latn-CS"/>
        </w:rPr>
        <w:t xml:space="preserve"> </w:t>
      </w:r>
      <w:r w:rsidRPr="00FC38DB">
        <w:rPr>
          <w:lang w:val="sr-Latn-CS"/>
        </w:rPr>
        <w:t>the</w:t>
      </w:r>
      <w:r w:rsidRPr="001E0598">
        <w:rPr>
          <w:lang w:val="sr-Latn-CS"/>
        </w:rPr>
        <w:t xml:space="preserve"> </w:t>
      </w:r>
      <w:r w:rsidRPr="00FC38DB">
        <w:rPr>
          <w:lang w:val="sr-Latn-CS"/>
        </w:rPr>
        <w:t>Threshold</w:t>
      </w:r>
      <w:r w:rsidRPr="001E0598">
        <w:rPr>
          <w:lang w:val="sr-Latn-CS"/>
        </w:rPr>
        <w:t xml:space="preserve"> </w:t>
      </w:r>
      <w:r w:rsidRPr="00FC38DB">
        <w:rPr>
          <w:lang w:val="sr-Latn-CS"/>
        </w:rPr>
        <w:t>of</w:t>
      </w:r>
      <w:r w:rsidRPr="001E0598">
        <w:rPr>
          <w:lang w:val="sr-Latn-CS"/>
        </w:rPr>
        <w:t xml:space="preserve"> </w:t>
      </w:r>
      <w:r w:rsidRPr="00FC38DB">
        <w:rPr>
          <w:lang w:val="sr-Latn-CS"/>
        </w:rPr>
        <w:t>the</w:t>
      </w:r>
      <w:r w:rsidRPr="001E0598">
        <w:rPr>
          <w:lang w:val="sr-Latn-CS"/>
        </w:rPr>
        <w:t xml:space="preserve"> </w:t>
      </w:r>
      <w:r w:rsidRPr="00FC38DB">
        <w:rPr>
          <w:lang w:val="sr-Latn-CS"/>
        </w:rPr>
        <w:t>Heavens</w:t>
      </w:r>
      <w:r w:rsidRPr="001E0598">
        <w:rPr>
          <w:lang w:val="sr-Latn-CS"/>
        </w:rPr>
        <w:t xml:space="preserve">: </w:t>
      </w:r>
      <w:r w:rsidRPr="00FC38DB">
        <w:rPr>
          <w:lang w:val="sr-Latn-CS"/>
        </w:rPr>
        <w:t>The</w:t>
      </w:r>
      <w:r w:rsidRPr="001E0598">
        <w:rPr>
          <w:lang w:val="sr-Latn-CS"/>
        </w:rPr>
        <w:t xml:space="preserve"> </w:t>
      </w:r>
      <w:r w:rsidRPr="00FC38DB">
        <w:rPr>
          <w:lang w:val="sr-Latn-CS"/>
        </w:rPr>
        <w:t>Narthex</w:t>
      </w:r>
      <w:r w:rsidRPr="001E0598">
        <w:rPr>
          <w:lang w:val="sr-Latn-CS"/>
        </w:rPr>
        <w:t xml:space="preserve"> </w:t>
      </w:r>
      <w:r w:rsidRPr="00FC38DB">
        <w:rPr>
          <w:lang w:val="sr-Latn-CS"/>
        </w:rPr>
        <w:t>and</w:t>
      </w:r>
      <w:r w:rsidRPr="001E0598">
        <w:rPr>
          <w:lang w:val="sr-Latn-CS"/>
        </w:rPr>
        <w:t xml:space="preserve"> </w:t>
      </w:r>
      <w:r w:rsidRPr="00FC38DB">
        <w:rPr>
          <w:lang w:val="sr-Latn-CS"/>
        </w:rPr>
        <w:t>Adjacent</w:t>
      </w:r>
      <w:r w:rsidRPr="001E0598">
        <w:rPr>
          <w:lang w:val="sr-Latn-CS"/>
        </w:rPr>
        <w:t xml:space="preserve"> </w:t>
      </w:r>
      <w:r w:rsidRPr="00FC38DB">
        <w:rPr>
          <w:lang w:val="sr-Latn-CS"/>
        </w:rPr>
        <w:t>Spaces</w:t>
      </w:r>
      <w:r w:rsidRPr="001E0598">
        <w:rPr>
          <w:lang w:val="sr-Latn-CS"/>
        </w:rPr>
        <w:t xml:space="preserve"> </w:t>
      </w:r>
      <w:r w:rsidRPr="00FC38DB">
        <w:rPr>
          <w:lang w:val="sr-Latn-CS"/>
        </w:rPr>
        <w:t>in</w:t>
      </w:r>
      <w:r w:rsidRPr="001E0598">
        <w:rPr>
          <w:lang w:val="sr-Latn-CS"/>
        </w:rPr>
        <w:t xml:space="preserve"> </w:t>
      </w:r>
      <w:r w:rsidRPr="00FC38DB">
        <w:rPr>
          <w:lang w:val="sr-Latn-CS"/>
        </w:rPr>
        <w:t>Middle</w:t>
      </w:r>
      <w:r w:rsidRPr="001E0598">
        <w:rPr>
          <w:lang w:val="sr-Latn-CS"/>
        </w:rPr>
        <w:t xml:space="preserve"> </w:t>
      </w:r>
      <w:r w:rsidRPr="00FC38DB">
        <w:rPr>
          <w:lang w:val="sr-Latn-CS"/>
        </w:rPr>
        <w:t>Byzantine</w:t>
      </w:r>
      <w:r w:rsidRPr="001E0598">
        <w:rPr>
          <w:lang w:val="sr-Latn-CS"/>
        </w:rPr>
        <w:t xml:space="preserve"> </w:t>
      </w:r>
      <w:r w:rsidRPr="00FC38DB">
        <w:rPr>
          <w:lang w:val="sr-Latn-CS"/>
        </w:rPr>
        <w:t>Churches</w:t>
      </w:r>
      <w:r w:rsidRPr="001E0598">
        <w:rPr>
          <w:lang w:val="sr-Latn-CS"/>
        </w:rPr>
        <w:t xml:space="preserve"> </w:t>
      </w:r>
      <w:r w:rsidRPr="00FC38DB">
        <w:rPr>
          <w:lang w:val="sr-Latn-CS"/>
        </w:rPr>
        <w:t>of</w:t>
      </w:r>
      <w:r w:rsidRPr="001E0598">
        <w:rPr>
          <w:lang w:val="sr-Latn-CS"/>
        </w:rPr>
        <w:t xml:space="preserve"> </w:t>
      </w:r>
      <w:r w:rsidRPr="00FC38DB">
        <w:rPr>
          <w:lang w:val="sr-Latn-CS"/>
        </w:rPr>
        <w:t>Mount</w:t>
      </w:r>
      <w:r w:rsidRPr="001E0598">
        <w:rPr>
          <w:lang w:val="sr-Latn-CS"/>
        </w:rPr>
        <w:t xml:space="preserve"> </w:t>
      </w:r>
      <w:r w:rsidRPr="00FC38DB">
        <w:rPr>
          <w:lang w:val="sr-Latn-CS"/>
        </w:rPr>
        <w:t>Athos</w:t>
      </w:r>
      <w:r w:rsidRPr="001E0598">
        <w:rPr>
          <w:lang w:val="sr-Latn-CS"/>
        </w:rPr>
        <w:t xml:space="preserve"> (10</w:t>
      </w:r>
      <w:r w:rsidRPr="00FC38DB">
        <w:rPr>
          <w:vertAlign w:val="superscript"/>
          <w:lang w:val="sr-Latn-CS"/>
        </w:rPr>
        <w:t>th</w:t>
      </w:r>
      <w:r w:rsidRPr="001E0598">
        <w:rPr>
          <w:lang w:val="sr-Latn-CS"/>
        </w:rPr>
        <w:t>-11</w:t>
      </w:r>
      <w:r w:rsidRPr="00FC38DB">
        <w:rPr>
          <w:vertAlign w:val="superscript"/>
          <w:lang w:val="sr-Latn-CS"/>
        </w:rPr>
        <w:t>th</w:t>
      </w:r>
      <w:r w:rsidRPr="001E0598">
        <w:rPr>
          <w:lang w:val="sr-Latn-CS"/>
        </w:rPr>
        <w:t xml:space="preserve"> </w:t>
      </w:r>
      <w:r w:rsidRPr="00FC38DB">
        <w:rPr>
          <w:lang w:val="sr-Latn-CS"/>
        </w:rPr>
        <w:t>Centuries</w:t>
      </w:r>
      <w:r w:rsidRPr="001E0598">
        <w:rPr>
          <w:lang w:val="sr-Latn-CS"/>
        </w:rPr>
        <w:t xml:space="preserve">) – </w:t>
      </w:r>
      <w:r w:rsidRPr="00FC38DB">
        <w:rPr>
          <w:lang w:val="sr-Latn-CS"/>
        </w:rPr>
        <w:t>Architecture</w:t>
      </w:r>
      <w:r w:rsidRPr="001E0598">
        <w:rPr>
          <w:lang w:val="sr-Latn-CS"/>
        </w:rPr>
        <w:t xml:space="preserve">, </w:t>
      </w:r>
      <w:r w:rsidRPr="00FC38DB">
        <w:rPr>
          <w:lang w:val="sr-Latn-CS"/>
        </w:rPr>
        <w:t>Function</w:t>
      </w:r>
      <w:r w:rsidRPr="001E0598">
        <w:rPr>
          <w:lang w:val="sr-Latn-CS"/>
        </w:rPr>
        <w:t xml:space="preserve">, </w:t>
      </w:r>
      <w:r w:rsidRPr="00FC38DB">
        <w:rPr>
          <w:lang w:val="sr-Latn-CS"/>
        </w:rPr>
        <w:t>and</w:t>
      </w:r>
      <w:r w:rsidRPr="001E0598">
        <w:rPr>
          <w:lang w:val="sr-Latn-CS"/>
        </w:rPr>
        <w:t xml:space="preserve"> </w:t>
      </w:r>
      <w:r w:rsidRPr="00FC38DB">
        <w:rPr>
          <w:lang w:val="sr-Latn-CS"/>
        </w:rPr>
        <w:t>Meaning</w:t>
      </w:r>
      <w:r w:rsidRPr="001E0598">
        <w:rPr>
          <w:lang w:val="sr-Latn-CS"/>
        </w:rPr>
        <w:t xml:space="preserve">” </w:t>
      </w:r>
      <w:r>
        <w:t xml:space="preserve"> </w:t>
      </w:r>
      <w:r w:rsidRPr="001E0598">
        <w:rPr>
          <w:lang w:val="sr-Latn-CS"/>
        </w:rPr>
        <w:t xml:space="preserve"> </w:t>
      </w:r>
      <w:r w:rsidRPr="00DA7998">
        <w:rPr>
          <w:i/>
          <w:iCs/>
        </w:rPr>
        <w:t xml:space="preserve">одбрањена на Универзитету Принстон </w:t>
      </w:r>
      <w:r w:rsidRPr="00DA7998">
        <w:rPr>
          <w:i/>
          <w:iCs/>
          <w:lang w:val="sr-Latn-CS"/>
        </w:rPr>
        <w:t>5. маја 2017</w:t>
      </w:r>
      <w:r w:rsidRPr="00DA7998">
        <w:rPr>
          <w:i/>
          <w:iCs/>
        </w:rPr>
        <w:t>, а</w:t>
      </w:r>
      <w:r w:rsidRPr="00DA7998">
        <w:rPr>
          <w:i/>
          <w:iCs/>
          <w:lang w:val="sr-Latn-CS"/>
        </w:rPr>
        <w:t xml:space="preserve"> званично учињена јавном јуна 2017. године</w:t>
      </w:r>
      <w:r w:rsidRPr="00DA7998">
        <w:rPr>
          <w:i/>
          <w:iCs/>
        </w:rPr>
        <w:t xml:space="preserve">. </w:t>
      </w:r>
      <w:r>
        <w:rPr>
          <w:i/>
          <w:iCs/>
        </w:rPr>
        <w:t>У тој</w:t>
      </w:r>
      <w:r w:rsidRPr="005D0179">
        <w:rPr>
          <w:i/>
          <w:iCs/>
        </w:rPr>
        <w:t xml:space="preserve"> </w:t>
      </w:r>
      <w:r>
        <w:rPr>
          <w:i/>
          <w:iCs/>
        </w:rPr>
        <w:t>веома садржај</w:t>
      </w:r>
      <w:r w:rsidRPr="005D0179">
        <w:rPr>
          <w:i/>
          <w:iCs/>
        </w:rPr>
        <w:t>н</w:t>
      </w:r>
      <w:r>
        <w:rPr>
          <w:i/>
          <w:iCs/>
        </w:rPr>
        <w:t>ој</w:t>
      </w:r>
      <w:r w:rsidRPr="005D0179">
        <w:rPr>
          <w:i/>
          <w:iCs/>
        </w:rPr>
        <w:t xml:space="preserve"> и темељн</w:t>
      </w:r>
      <w:r>
        <w:rPr>
          <w:i/>
          <w:iCs/>
        </w:rPr>
        <w:t>ој</w:t>
      </w:r>
      <w:r w:rsidRPr="005D0179">
        <w:rPr>
          <w:i/>
          <w:iCs/>
        </w:rPr>
        <w:t xml:space="preserve"> студиј</w:t>
      </w:r>
      <w:r>
        <w:rPr>
          <w:i/>
          <w:iCs/>
        </w:rPr>
        <w:t>и</w:t>
      </w:r>
      <w:r w:rsidRPr="005D0179">
        <w:rPr>
          <w:i/>
          <w:iCs/>
        </w:rPr>
        <w:t xml:space="preserve"> испит</w:t>
      </w:r>
      <w:r>
        <w:rPr>
          <w:i/>
          <w:iCs/>
        </w:rPr>
        <w:t>ан је</w:t>
      </w:r>
      <w:r w:rsidRPr="005D0179">
        <w:rPr>
          <w:i/>
          <w:iCs/>
        </w:rPr>
        <w:t xml:space="preserve"> однос између монашких богослужбених обреда и ритуалних пракси везаних за припрату и околне просторе, с једне стране, и архитектонске форме и функционалне организације ових делова цркве, с друге. Поред тога што пружа детаљан приказ архитектуре</w:t>
      </w:r>
      <w:r>
        <w:rPr>
          <w:i/>
          <w:iCs/>
        </w:rPr>
        <w:t>,</w:t>
      </w:r>
      <w:r w:rsidRPr="005D0179">
        <w:rPr>
          <w:i/>
          <w:iCs/>
        </w:rPr>
        <w:t xml:space="preserve"> унутрашњег уређења и иконографске декорације</w:t>
      </w:r>
      <w:r>
        <w:rPr>
          <w:i/>
          <w:iCs/>
        </w:rPr>
        <w:t xml:space="preserve"> тих простора</w:t>
      </w:r>
      <w:r w:rsidRPr="005D0179">
        <w:rPr>
          <w:i/>
          <w:iCs/>
        </w:rPr>
        <w:t xml:space="preserve">, дисертација настоји да објасни различите елементе, особене облике и просторне релације у контексту растућег значаја овог дела цркве у оквиру студитског, изразито киновијског (општежитељног) монашког организовања и богослужења. </w:t>
      </w:r>
      <w:r>
        <w:rPr>
          <w:i/>
          <w:iCs/>
        </w:rPr>
        <w:t>В</w:t>
      </w:r>
      <w:r w:rsidRPr="005D0179">
        <w:rPr>
          <w:i/>
          <w:iCs/>
        </w:rPr>
        <w:t xml:space="preserve">ећ </w:t>
      </w:r>
      <w:r>
        <w:rPr>
          <w:i/>
          <w:iCs/>
        </w:rPr>
        <w:t>т</w:t>
      </w:r>
      <w:r w:rsidRPr="005D0179">
        <w:rPr>
          <w:i/>
          <w:iCs/>
        </w:rPr>
        <w:t xml:space="preserve">о што су све сачуване или само посредно познате светогорске средњовизантијске припрате, </w:t>
      </w:r>
      <w:r>
        <w:rPr>
          <w:i/>
          <w:iCs/>
        </w:rPr>
        <w:t xml:space="preserve">као и </w:t>
      </w:r>
      <w:r w:rsidRPr="005D0179">
        <w:rPr>
          <w:i/>
          <w:iCs/>
        </w:rPr>
        <w:t>простори на спрату изнад њих, спољне припрате, тремови, бочне капеле и фијале</w:t>
      </w:r>
      <w:r>
        <w:rPr>
          <w:i/>
          <w:iCs/>
        </w:rPr>
        <w:t xml:space="preserve"> –</w:t>
      </w:r>
      <w:r w:rsidRPr="005D0179">
        <w:rPr>
          <w:i/>
          <w:iCs/>
        </w:rPr>
        <w:t xml:space="preserve"> </w:t>
      </w:r>
      <w:r>
        <w:rPr>
          <w:i/>
          <w:iCs/>
        </w:rPr>
        <w:t>до сада</w:t>
      </w:r>
      <w:r w:rsidRPr="005D0179">
        <w:rPr>
          <w:i/>
          <w:iCs/>
        </w:rPr>
        <w:t xml:space="preserve"> недовољно или слабо документовани, публиковани и проучавни</w:t>
      </w:r>
      <w:r>
        <w:rPr>
          <w:i/>
          <w:iCs/>
        </w:rPr>
        <w:t xml:space="preserve"> –</w:t>
      </w:r>
      <w:r w:rsidRPr="005D0179">
        <w:rPr>
          <w:i/>
          <w:iCs/>
        </w:rPr>
        <w:t xml:space="preserve"> систематски представљени</w:t>
      </w:r>
      <w:r>
        <w:rPr>
          <w:i/>
          <w:iCs/>
        </w:rPr>
        <w:t xml:space="preserve"> у Станковићевој дисертацији</w:t>
      </w:r>
      <w:r w:rsidRPr="005D0179">
        <w:rPr>
          <w:i/>
          <w:iCs/>
        </w:rPr>
        <w:t xml:space="preserve">, те потвргнути свеобухватној анализи, представља само по себи немерљив научни допринос. Међутим, </w:t>
      </w:r>
      <w:r>
        <w:rPr>
          <w:i/>
          <w:iCs/>
        </w:rPr>
        <w:t>још значајније, научно веома врадне резултате доноси</w:t>
      </w:r>
      <w:r w:rsidRPr="005D0179">
        <w:rPr>
          <w:i/>
          <w:iCs/>
        </w:rPr>
        <w:t xml:space="preserve"> студиозно расветљавањ</w:t>
      </w:r>
      <w:r>
        <w:rPr>
          <w:i/>
          <w:iCs/>
        </w:rPr>
        <w:t>е</w:t>
      </w:r>
      <w:r w:rsidRPr="005D0179">
        <w:rPr>
          <w:i/>
          <w:iCs/>
        </w:rPr>
        <w:t xml:space="preserve"> обликовних, функционалних, значењских и других аспеката везаних за ове просторије у црквеној архитектури Византије и земаља које су биле под њеним културним утицајем. </w:t>
      </w:r>
      <w:r w:rsidRPr="00C24220">
        <w:rPr>
          <w:i/>
          <w:iCs/>
        </w:rPr>
        <w:t>Заснивајући</w:t>
      </w:r>
      <w:r w:rsidRPr="005D0179">
        <w:rPr>
          <w:i/>
          <w:iCs/>
        </w:rPr>
        <w:t xml:space="preserve"> </w:t>
      </w:r>
      <w:r>
        <w:rPr>
          <w:i/>
          <w:iCs/>
        </w:rPr>
        <w:t>са на изузетно богат</w:t>
      </w:r>
      <w:r w:rsidRPr="005D0179">
        <w:rPr>
          <w:i/>
          <w:iCs/>
        </w:rPr>
        <w:t xml:space="preserve">ом </w:t>
      </w:r>
      <w:r>
        <w:rPr>
          <w:i/>
          <w:iCs/>
        </w:rPr>
        <w:t xml:space="preserve">и савесно сабраном изворном </w:t>
      </w:r>
      <w:r w:rsidRPr="005D0179">
        <w:rPr>
          <w:i/>
          <w:iCs/>
        </w:rPr>
        <w:t>материјал</w:t>
      </w:r>
      <w:r>
        <w:rPr>
          <w:i/>
          <w:iCs/>
        </w:rPr>
        <w:t>у</w:t>
      </w:r>
      <w:r w:rsidRPr="005D0179">
        <w:rPr>
          <w:i/>
          <w:iCs/>
        </w:rPr>
        <w:t xml:space="preserve">, који укључује не само архитектуру, већ и </w:t>
      </w:r>
      <w:r>
        <w:rPr>
          <w:i/>
          <w:iCs/>
        </w:rPr>
        <w:t xml:space="preserve">сведочанства о </w:t>
      </w:r>
      <w:r w:rsidRPr="005D0179">
        <w:rPr>
          <w:i/>
          <w:iCs/>
        </w:rPr>
        <w:t>богослужбен</w:t>
      </w:r>
      <w:r>
        <w:rPr>
          <w:i/>
          <w:iCs/>
        </w:rPr>
        <w:t>ој</w:t>
      </w:r>
      <w:r w:rsidRPr="005D0179">
        <w:rPr>
          <w:i/>
          <w:iCs/>
        </w:rPr>
        <w:t xml:space="preserve"> пракс</w:t>
      </w:r>
      <w:r>
        <w:rPr>
          <w:i/>
          <w:iCs/>
        </w:rPr>
        <w:t>и</w:t>
      </w:r>
      <w:r w:rsidRPr="005D0179">
        <w:rPr>
          <w:i/>
          <w:iCs/>
        </w:rPr>
        <w:t xml:space="preserve"> забележен</w:t>
      </w:r>
      <w:r>
        <w:rPr>
          <w:i/>
          <w:iCs/>
        </w:rPr>
        <w:t>а</w:t>
      </w:r>
      <w:r w:rsidRPr="005D0179">
        <w:rPr>
          <w:i/>
          <w:iCs/>
        </w:rPr>
        <w:t xml:space="preserve"> у документима или сачуван</w:t>
      </w:r>
      <w:r>
        <w:rPr>
          <w:i/>
          <w:iCs/>
        </w:rPr>
        <w:t>а</w:t>
      </w:r>
      <w:r w:rsidRPr="005D0179">
        <w:rPr>
          <w:i/>
          <w:iCs/>
        </w:rPr>
        <w:t xml:space="preserve"> у непрекинутој </w:t>
      </w:r>
      <w:r>
        <w:rPr>
          <w:i/>
          <w:iCs/>
        </w:rPr>
        <w:t>примени</w:t>
      </w:r>
      <w:r w:rsidRPr="005D0179">
        <w:rPr>
          <w:i/>
          <w:iCs/>
        </w:rPr>
        <w:t xml:space="preserve"> у светогорским манастирима, као и </w:t>
      </w:r>
      <w:r>
        <w:rPr>
          <w:i/>
          <w:iCs/>
        </w:rPr>
        <w:t xml:space="preserve">податке о </w:t>
      </w:r>
      <w:r w:rsidRPr="005D0179">
        <w:rPr>
          <w:i/>
          <w:iCs/>
        </w:rPr>
        <w:t>специфичн</w:t>
      </w:r>
      <w:r>
        <w:rPr>
          <w:i/>
          <w:iCs/>
        </w:rPr>
        <w:t>им</w:t>
      </w:r>
      <w:r w:rsidRPr="005D0179">
        <w:rPr>
          <w:i/>
          <w:iCs/>
        </w:rPr>
        <w:t xml:space="preserve"> историјск</w:t>
      </w:r>
      <w:r>
        <w:rPr>
          <w:i/>
          <w:iCs/>
        </w:rPr>
        <w:t>им</w:t>
      </w:r>
      <w:r w:rsidRPr="005D0179">
        <w:rPr>
          <w:i/>
          <w:iCs/>
        </w:rPr>
        <w:t xml:space="preserve"> околности</w:t>
      </w:r>
      <w:r>
        <w:rPr>
          <w:i/>
          <w:iCs/>
        </w:rPr>
        <w:t>ма</w:t>
      </w:r>
      <w:r w:rsidRPr="005D0179">
        <w:rPr>
          <w:i/>
          <w:iCs/>
        </w:rPr>
        <w:t xml:space="preserve"> и монашк</w:t>
      </w:r>
      <w:r>
        <w:rPr>
          <w:i/>
          <w:iCs/>
        </w:rPr>
        <w:t>им</w:t>
      </w:r>
      <w:r w:rsidRPr="005D0179">
        <w:rPr>
          <w:i/>
          <w:iCs/>
        </w:rPr>
        <w:t xml:space="preserve"> потреб</w:t>
      </w:r>
      <w:r>
        <w:rPr>
          <w:i/>
          <w:iCs/>
        </w:rPr>
        <w:t>ама</w:t>
      </w:r>
      <w:r w:rsidRPr="005D0179">
        <w:rPr>
          <w:i/>
          <w:iCs/>
        </w:rPr>
        <w:t>, дисертација се дотиче и битних теоријско-концептуалних питања као што су интеракција између форме и функције, и формирање конкретног</w:t>
      </w:r>
      <w:r>
        <w:rPr>
          <w:i/>
          <w:iCs/>
        </w:rPr>
        <w:t xml:space="preserve"> литургијског простора и </w:t>
      </w:r>
      <w:r w:rsidRPr="005D0179">
        <w:rPr>
          <w:i/>
          <w:iCs/>
        </w:rPr>
        <w:t>преношење</w:t>
      </w:r>
      <w:r>
        <w:rPr>
          <w:i/>
          <w:iCs/>
        </w:rPr>
        <w:t xml:space="preserve"> истог или сличног обликовно-функционалног склопа</w:t>
      </w:r>
      <w:r w:rsidRPr="005D0179">
        <w:rPr>
          <w:i/>
          <w:iCs/>
        </w:rPr>
        <w:t xml:space="preserve"> </w:t>
      </w:r>
      <w:r>
        <w:rPr>
          <w:i/>
          <w:iCs/>
        </w:rPr>
        <w:t xml:space="preserve">са једног </w:t>
      </w:r>
      <w:r w:rsidRPr="005D0179">
        <w:rPr>
          <w:i/>
          <w:iCs/>
        </w:rPr>
        <w:t>на друга места.</w:t>
      </w:r>
    </w:p>
    <w:p w:rsidR="00A22EB9" w:rsidRPr="006A1937" w:rsidRDefault="00A22EB9" w:rsidP="00E82100">
      <w:pPr>
        <w:spacing w:before="360"/>
        <w:ind w:firstLine="720"/>
        <w:jc w:val="center"/>
        <w:rPr>
          <w:b/>
          <w:bCs/>
          <w:sz w:val="28"/>
          <w:szCs w:val="28"/>
        </w:rPr>
      </w:pPr>
      <w:r w:rsidRPr="006A1937">
        <w:rPr>
          <w:b/>
          <w:bCs/>
          <w:sz w:val="28"/>
          <w:szCs w:val="28"/>
        </w:rPr>
        <w:t>4. Цитираност објављених радова кандидата</w:t>
      </w:r>
    </w:p>
    <w:p w:rsidR="00A22EB9" w:rsidRDefault="00A22EB9" w:rsidP="006A1937">
      <w:pPr>
        <w:ind w:firstLine="720"/>
        <w:jc w:val="both"/>
      </w:pPr>
    </w:p>
    <w:p w:rsidR="00A22EB9" w:rsidRDefault="00A22EB9" w:rsidP="006A1937">
      <w:pPr>
        <w:ind w:firstLine="720"/>
        <w:jc w:val="both"/>
      </w:pPr>
      <w:r>
        <w:t xml:space="preserve">Из ширег увида у референтну литературу посвећену историји византијске уметности, особито архитектуре могло се утврдити да су редови колеге Небојше Станковића прилично често цитирани. Истраживачи се позивају нарочито на његове резултате остварена на подручју проучавања појаве, облика и богослужбене функције западних постројења византијских и српских средњовековних храмова. </w:t>
      </w:r>
    </w:p>
    <w:p w:rsidR="00A22EB9" w:rsidRPr="00104177" w:rsidRDefault="00A22EB9" w:rsidP="00E82100">
      <w:pPr>
        <w:spacing w:before="360"/>
        <w:ind w:firstLine="720"/>
        <w:jc w:val="center"/>
        <w:rPr>
          <w:b/>
          <w:bCs/>
          <w:sz w:val="28"/>
          <w:szCs w:val="28"/>
        </w:rPr>
      </w:pPr>
      <w:r w:rsidRPr="00104177">
        <w:rPr>
          <w:b/>
          <w:bCs/>
          <w:sz w:val="28"/>
          <w:szCs w:val="28"/>
        </w:rPr>
        <w:t>5. Оцена самосталности кандидата</w:t>
      </w:r>
    </w:p>
    <w:p w:rsidR="00A22EB9" w:rsidRDefault="00A22EB9" w:rsidP="006A1937">
      <w:pPr>
        <w:ind w:firstLine="720"/>
        <w:jc w:val="both"/>
      </w:pPr>
    </w:p>
    <w:p w:rsidR="00A22EB9" w:rsidRDefault="00A22EB9" w:rsidP="006A1937">
      <w:pPr>
        <w:ind w:firstLine="720"/>
        <w:jc w:val="both"/>
      </w:pPr>
      <w:r>
        <w:t>Колега Станковић се у истраживачком теренском раду и објављеним студијама и расправама исказао као веома зрео истраживач, оспособљен за самосталан научни рад.  Поуздане основе за такав рад стекао је пре свега током свих основних етапа школовања у врхунским домаћим и страним образовним установама, али и похађајући многобројне стручне и научне курсеве и семинаре у угледним истраживачким центрима. Нарочито значајне за његово профилисање као поузданог и осамостаљеног истраживача биле су студијске праксе и студијаска путовања од којих је неке сам организовао, као и учествовање у низу кампања археолошких истраживања и теренских снимања. У оквиру тих кампања, обављаних највише у оквиру научних пројеката Универзитета у Принстону, али и пројеката Републичког завода за заштиту споменика културе у Београду и Археолошког института у Београду, Станковићу су поверавани захтевни и веома сложени истраживачки задаци које је обављао савесно и професионално беспрекорно исказујући увек властиту истраживачку иницијативу. Потврду његове посвећености теренским итрсживањима и оспособљености за самосталан научни рад пружали су извештаји са тих истраживачких кампања и студије произашле из рада на терену, који су представљали вредан и увек препознатљив научни допринос кандидата. Но, осим оспособљености за самосталан истраживачки рад, Станковић је исказао и способност за сарадњу у већим истраживачким тимовима, односно за колективна научна прегнућа, што потврђују резултати тимски остварених пројеката у којима је учествовао.</w:t>
      </w:r>
    </w:p>
    <w:p w:rsidR="00A22EB9" w:rsidRPr="006B626D" w:rsidRDefault="00A22EB9" w:rsidP="00E82100">
      <w:pPr>
        <w:spacing w:before="360"/>
        <w:jc w:val="center"/>
        <w:rPr>
          <w:b/>
          <w:bCs/>
          <w:sz w:val="28"/>
          <w:szCs w:val="28"/>
        </w:rPr>
      </w:pPr>
      <w:r w:rsidRPr="006B626D">
        <w:rPr>
          <w:b/>
          <w:bCs/>
          <w:sz w:val="28"/>
          <w:szCs w:val="28"/>
        </w:rPr>
        <w:t>6. Квалитативни показатељи кандидатовог научног ангажмана и његовог доприноса унапређењу научног и образовног рада у области за коју се бира</w:t>
      </w:r>
    </w:p>
    <w:p w:rsidR="00A22EB9" w:rsidRDefault="00A22EB9" w:rsidP="006A1937">
      <w:pPr>
        <w:ind w:firstLine="720"/>
        <w:jc w:val="both"/>
      </w:pPr>
    </w:p>
    <w:p w:rsidR="00A22EB9" w:rsidRDefault="00A22EB9" w:rsidP="006A1937">
      <w:pPr>
        <w:ind w:firstLine="720"/>
        <w:jc w:val="both"/>
      </w:pPr>
      <w:r>
        <w:t xml:space="preserve">Одлична упућеност у страну и домаћу литературу и суверено познавање научне методологије карактеришу досадашњи научни рад др Небојше Станковића у области историјско-уметничких истраживања. Нарочито су значајни његови доприноси проучавању средњовековне архитектуре на Светој Гори. Потребно је истаћи и кандидатове напоре и резултате када је реч о увећавању знања из неких ужих области истраживања, као што су архитектура и богослужбена функција припрата атоских цркава. Станковић се бавио и појединим питањима која се односе на српски архитектуру 20. века. Његов истраживачки ангажман био је веома плодотворан и вредан, о чему сведочи чињеница да су резултати радова др Станковића прихваћени у научној литератури. </w:t>
      </w:r>
    </w:p>
    <w:p w:rsidR="00A22EB9" w:rsidRDefault="00A22EB9" w:rsidP="006A1937">
      <w:pPr>
        <w:ind w:firstLine="720"/>
        <w:jc w:val="both"/>
      </w:pPr>
      <w:r>
        <w:t>О научној ангажованости и високој оцени др Небојше Станковића као младог и веома вредног истраживача најнепосредније сведоче награде и стипендије које је добијао за свој научни рад, затим позиви за председавање сесијама научних скупова, одржана предавања по позиву као и чланства у научним одборима. Издвајамо само оно најзначајније:</w:t>
      </w:r>
    </w:p>
    <w:p w:rsidR="00A22EB9" w:rsidRDefault="00A22EB9" w:rsidP="006A1937">
      <w:pPr>
        <w:ind w:firstLine="720"/>
        <w:jc w:val="both"/>
      </w:pPr>
    </w:p>
    <w:p w:rsidR="00A22EB9" w:rsidRPr="00A41D7E" w:rsidRDefault="00A22EB9" w:rsidP="00A41D7E">
      <w:pPr>
        <w:spacing w:after="120"/>
        <w:jc w:val="both"/>
        <w:rPr>
          <w:b/>
          <w:bCs/>
        </w:rPr>
      </w:pPr>
      <w:r w:rsidRPr="00A41D7E">
        <w:rPr>
          <w:b/>
          <w:bCs/>
        </w:rPr>
        <w:t>Награде и признања за научни рад:</w:t>
      </w:r>
    </w:p>
    <w:p w:rsidR="00A22EB9" w:rsidRPr="00A41D7E" w:rsidRDefault="00A22EB9" w:rsidP="00A41D7E">
      <w:pPr>
        <w:ind w:left="1440" w:hanging="1440"/>
      </w:pPr>
      <w:r w:rsidRPr="00A41D7E">
        <w:t xml:space="preserve">2014-2015 </w:t>
      </w:r>
      <w:r w:rsidRPr="00A41D7E">
        <w:tab/>
        <w:t xml:space="preserve">Princeton University, Department of Art and Archaeology, Dissertation Finishing Grant, September 2014 – February 2015 </w:t>
      </w:r>
    </w:p>
    <w:p w:rsidR="00A22EB9" w:rsidRPr="00A41D7E" w:rsidRDefault="00A22EB9" w:rsidP="00A41D7E">
      <w:pPr>
        <w:ind w:left="1440" w:hanging="1440"/>
      </w:pPr>
      <w:r w:rsidRPr="00A41D7E">
        <w:t xml:space="preserve">2013-2014 </w:t>
      </w:r>
      <w:r w:rsidRPr="00A41D7E">
        <w:tab/>
        <w:t xml:space="preserve">New Europe College, Institute for Advanced Study, Bucharest (Romania), Fellowship within the Europe Next to Europe Program, October 2013 – February 2014 – стипендија није искоришћена </w:t>
      </w:r>
    </w:p>
    <w:p w:rsidR="00A22EB9" w:rsidRDefault="00A22EB9" w:rsidP="00A41D7E">
      <w:pPr>
        <w:pStyle w:val="NormalWeb"/>
        <w:spacing w:before="0" w:beforeAutospacing="0" w:after="0" w:afterAutospacing="0"/>
        <w:ind w:left="1440" w:hanging="1440"/>
        <w:rPr>
          <w:b/>
          <w:bCs/>
        </w:rPr>
      </w:pPr>
      <w:r w:rsidRPr="00A41D7E">
        <w:t xml:space="preserve">2011-2012 </w:t>
      </w:r>
      <w:r w:rsidRPr="00A41D7E">
        <w:tab/>
        <w:t>Dumbarton Oaks Research Library and Collection (of Harvard University), Washington DC, Junior Fellowship in Byzantine Studies</w:t>
      </w:r>
    </w:p>
    <w:p w:rsidR="00A22EB9" w:rsidRDefault="00A22EB9" w:rsidP="00A41D7E">
      <w:pPr>
        <w:pStyle w:val="NormalWeb"/>
        <w:spacing w:before="0" w:beforeAutospacing="0" w:after="0" w:afterAutospacing="0"/>
        <w:ind w:left="1440" w:hanging="1440"/>
      </w:pPr>
      <w:r w:rsidRPr="00DE207E">
        <w:t xml:space="preserve">1999 </w:t>
      </w:r>
      <w:r w:rsidRPr="00DE207E">
        <w:tab/>
      </w:r>
      <w:r>
        <w:t xml:space="preserve">Награда за најбољи чланак објављен у </w:t>
      </w:r>
      <w:r w:rsidRPr="00DE207E">
        <w:rPr>
          <w:i/>
          <w:iCs/>
        </w:rPr>
        <w:t>Зборнику Београдске отворене школе</w:t>
      </w:r>
      <w:r>
        <w:t xml:space="preserve"> у области хуманистичких наука (заједно са Јеленом Богдановић)</w:t>
      </w:r>
    </w:p>
    <w:p w:rsidR="00A22EB9" w:rsidRDefault="00A22EB9" w:rsidP="00A41D7E">
      <w:pPr>
        <w:pStyle w:val="NormalWeb"/>
        <w:spacing w:before="0" w:beforeAutospacing="0" w:after="0" w:afterAutospacing="0"/>
        <w:ind w:left="1440" w:hanging="1440"/>
      </w:pPr>
    </w:p>
    <w:p w:rsidR="00A22EB9" w:rsidRPr="004346F3" w:rsidRDefault="00A22EB9" w:rsidP="004346F3">
      <w:pPr>
        <w:pStyle w:val="NormalWeb"/>
        <w:spacing w:before="0" w:beforeAutospacing="0" w:after="120" w:afterAutospacing="0"/>
        <w:ind w:left="1440" w:hanging="1440"/>
        <w:rPr>
          <w:b/>
          <w:bCs/>
        </w:rPr>
      </w:pPr>
      <w:r w:rsidRPr="004346F3">
        <w:rPr>
          <w:b/>
          <w:bCs/>
        </w:rPr>
        <w:t>Председавања и конференцијска излагања по позиву:</w:t>
      </w:r>
    </w:p>
    <w:p w:rsidR="00A22EB9" w:rsidRPr="002839D9" w:rsidRDefault="00A22EB9" w:rsidP="004346F3">
      <w:pPr>
        <w:ind w:left="1440" w:hanging="1440"/>
      </w:pPr>
      <w:r w:rsidRPr="002839D9">
        <w:t>2018 (</w:t>
      </w:r>
      <w:r>
        <w:t>јун</w:t>
      </w:r>
      <w:r w:rsidRPr="002839D9">
        <w:t xml:space="preserve">) </w:t>
      </w:r>
      <w:r w:rsidRPr="002839D9">
        <w:tab/>
      </w:r>
      <w:r>
        <w:t>Конференција „Ниш и Византија 17“, Ниш</w:t>
      </w:r>
      <w:r w:rsidRPr="002839D9">
        <w:t xml:space="preserve"> – </w:t>
      </w:r>
      <w:r>
        <w:t xml:space="preserve">по позиву, приказао и представио зборник радова са претходног скупа </w:t>
      </w:r>
      <w:r w:rsidRPr="002839D9">
        <w:rPr>
          <w:i/>
          <w:iCs/>
        </w:rPr>
        <w:t>Ниш и Византија 16</w:t>
      </w:r>
      <w:r>
        <w:t xml:space="preserve"> (2017) </w:t>
      </w:r>
    </w:p>
    <w:p w:rsidR="00A22EB9" w:rsidRPr="009D1698" w:rsidRDefault="00A22EB9" w:rsidP="004346F3">
      <w:pPr>
        <w:ind w:left="1440" w:hanging="1440"/>
      </w:pPr>
      <w:r w:rsidRPr="004346F3">
        <w:t>2017 (</w:t>
      </w:r>
      <w:r>
        <w:t>авг</w:t>
      </w:r>
      <w:r w:rsidRPr="004346F3">
        <w:t xml:space="preserve">.) </w:t>
      </w:r>
      <w:r w:rsidRPr="004346F3">
        <w:tab/>
      </w:r>
      <w:r>
        <w:t>Културен форум „Предание и континуитет“, Струга (Македонија) – учешће по позиву у панелним расправама о постмодернизму у философији, теологији, књижевности, култури, уметности, архитектури и музици – говорио на тему „Теорије и праксе у постмодерној архитектури и урбанизму</w:t>
      </w:r>
      <w:r w:rsidRPr="004346F3">
        <w:t xml:space="preserve"> </w:t>
      </w:r>
      <w:r>
        <w:t>у контексту неких кључних</w:t>
      </w:r>
      <w:r w:rsidRPr="004346F3">
        <w:t xml:space="preserve"> </w:t>
      </w:r>
      <w:r>
        <w:t xml:space="preserve">пројектантских аспеката“ </w:t>
      </w:r>
    </w:p>
    <w:p w:rsidR="00A22EB9" w:rsidRPr="00CB4E2C" w:rsidRDefault="00A22EB9" w:rsidP="004346F3">
      <w:pPr>
        <w:ind w:left="1440" w:hanging="1440"/>
      </w:pPr>
      <w:r w:rsidRPr="00CB4E2C">
        <w:t>2013 (</w:t>
      </w:r>
      <w:r>
        <w:t>феб</w:t>
      </w:r>
      <w:r w:rsidRPr="00CB4E2C">
        <w:t xml:space="preserve">.) </w:t>
      </w:r>
      <w:r w:rsidRPr="00CB4E2C">
        <w:tab/>
      </w:r>
      <w:r>
        <w:t>Универзитет у Нишу</w:t>
      </w:r>
      <w:r>
        <w:rPr>
          <w:lang w:val="sr-Latn-CS"/>
        </w:rPr>
        <w:t xml:space="preserve"> – </w:t>
      </w:r>
      <w:r>
        <w:t>јавно предавање по позиву на тему „Светогорске припрате у позновизантијском периоду: Настанак, развој и распрострањење једног архитектонског типа“</w:t>
      </w:r>
      <w:r w:rsidRPr="00CB4E2C">
        <w:t xml:space="preserve"> </w:t>
      </w:r>
    </w:p>
    <w:p w:rsidR="00A22EB9" w:rsidRPr="009707E9" w:rsidRDefault="00A22EB9" w:rsidP="004346F3">
      <w:pPr>
        <w:ind w:left="1440" w:hanging="1440"/>
      </w:pPr>
      <w:r w:rsidRPr="004346F3">
        <w:t>2011 (</w:t>
      </w:r>
      <w:r>
        <w:t>авг</w:t>
      </w:r>
      <w:r w:rsidRPr="004346F3">
        <w:t xml:space="preserve">.) </w:t>
      </w:r>
      <w:r w:rsidRPr="004346F3">
        <w:tab/>
      </w:r>
      <w:r>
        <w:t>Двадесет други међународни византолошки конгрес</w:t>
      </w:r>
      <w:r w:rsidRPr="004346F3">
        <w:t xml:space="preserve">, </w:t>
      </w:r>
      <w:r>
        <w:t>Софија</w:t>
      </w:r>
      <w:r w:rsidRPr="004346F3">
        <w:t xml:space="preserve"> (</w:t>
      </w:r>
      <w:r>
        <w:t>Бугарска</w:t>
      </w:r>
      <w:r w:rsidRPr="004346F3">
        <w:t xml:space="preserve">) – </w:t>
      </w:r>
      <w:r>
        <w:t>округли сто</w:t>
      </w:r>
      <w:r w:rsidRPr="004346F3">
        <w:t xml:space="preserve"> “</w:t>
      </w:r>
      <w:r>
        <w:t>Monast</w:t>
      </w:r>
      <w:r w:rsidRPr="004346F3">
        <w:t>è</w:t>
      </w:r>
      <w:r>
        <w:t>res</w:t>
      </w:r>
      <w:r w:rsidRPr="004346F3">
        <w:t xml:space="preserve"> </w:t>
      </w:r>
      <w:r>
        <w:t>et</w:t>
      </w:r>
      <w:r w:rsidRPr="004346F3">
        <w:t xml:space="preserve"> </w:t>
      </w:r>
      <w:r>
        <w:t>monachisme</w:t>
      </w:r>
      <w:r w:rsidRPr="004346F3">
        <w:t xml:space="preserve"> </w:t>
      </w:r>
      <w:r>
        <w:t>dans</w:t>
      </w:r>
      <w:r w:rsidRPr="004346F3">
        <w:t xml:space="preserve"> </w:t>
      </w:r>
      <w:r>
        <w:t>l</w:t>
      </w:r>
      <w:r w:rsidRPr="004346F3">
        <w:t>’</w:t>
      </w:r>
      <w:r>
        <w:t>espace</w:t>
      </w:r>
      <w:r w:rsidRPr="004346F3">
        <w:t xml:space="preserve"> </w:t>
      </w:r>
      <w:r>
        <w:t>balcanique</w:t>
      </w:r>
      <w:r w:rsidRPr="004346F3">
        <w:t>”</w:t>
      </w:r>
      <w:r>
        <w:t xml:space="preserve"> </w:t>
      </w:r>
      <w:r w:rsidRPr="004346F3">
        <w:t>[</w:t>
      </w:r>
      <w:r>
        <w:t>„Манастири и монастицизам на балканском простору“</w:t>
      </w:r>
      <w:r w:rsidRPr="004346F3">
        <w:t xml:space="preserve">] – </w:t>
      </w:r>
      <w:r>
        <w:t>представио рад</w:t>
      </w:r>
      <w:r w:rsidRPr="004346F3">
        <w:t xml:space="preserve"> “</w:t>
      </w:r>
      <w:r>
        <w:t>The</w:t>
      </w:r>
      <w:r w:rsidRPr="004346F3">
        <w:t xml:space="preserve"> </w:t>
      </w:r>
      <w:r>
        <w:t>Formation</w:t>
      </w:r>
      <w:r w:rsidRPr="004346F3">
        <w:t xml:space="preserve"> </w:t>
      </w:r>
      <w:r>
        <w:t>and</w:t>
      </w:r>
      <w:r w:rsidRPr="004346F3">
        <w:t xml:space="preserve"> </w:t>
      </w:r>
      <w:r>
        <w:t>Dissemination</w:t>
      </w:r>
      <w:r w:rsidRPr="004346F3">
        <w:t xml:space="preserve"> </w:t>
      </w:r>
      <w:r>
        <w:t>of</w:t>
      </w:r>
      <w:r w:rsidRPr="004346F3">
        <w:t xml:space="preserve"> </w:t>
      </w:r>
      <w:r>
        <w:t>the</w:t>
      </w:r>
      <w:r w:rsidRPr="004346F3">
        <w:t xml:space="preserve"> </w:t>
      </w:r>
      <w:r w:rsidRPr="00A558E7">
        <w:rPr>
          <w:i/>
          <w:iCs/>
        </w:rPr>
        <w:t>lit</w:t>
      </w:r>
      <w:r w:rsidRPr="004346F3">
        <w:rPr>
          <w:i/>
          <w:iCs/>
        </w:rPr>
        <w:t>ē</w:t>
      </w:r>
      <w:r w:rsidRPr="004346F3">
        <w:t xml:space="preserve"> </w:t>
      </w:r>
      <w:r>
        <w:t>on</w:t>
      </w:r>
      <w:r w:rsidRPr="004346F3">
        <w:t xml:space="preserve"> </w:t>
      </w:r>
      <w:r>
        <w:t>Mount</w:t>
      </w:r>
      <w:r w:rsidRPr="004346F3">
        <w:t xml:space="preserve"> </w:t>
      </w:r>
      <w:r>
        <w:t>Athos</w:t>
      </w:r>
      <w:r w:rsidRPr="004346F3">
        <w:t xml:space="preserve">: </w:t>
      </w:r>
      <w:r>
        <w:t>Liturgical</w:t>
      </w:r>
      <w:r w:rsidRPr="004346F3">
        <w:t xml:space="preserve"> </w:t>
      </w:r>
      <w:r>
        <w:t>and</w:t>
      </w:r>
      <w:r w:rsidRPr="004346F3">
        <w:t xml:space="preserve"> </w:t>
      </w:r>
      <w:r>
        <w:t>Historical</w:t>
      </w:r>
      <w:r w:rsidRPr="004346F3">
        <w:t xml:space="preserve"> </w:t>
      </w:r>
      <w:r>
        <w:t>Aspects</w:t>
      </w:r>
      <w:r w:rsidRPr="004346F3">
        <w:t>” [</w:t>
      </w:r>
      <w:r>
        <w:t>„Формирање и распрострањење литијске припрате на Светој Гору: Богослужбени и историјски аспекти“</w:t>
      </w:r>
      <w:r w:rsidRPr="004346F3">
        <w:t>]</w:t>
      </w:r>
      <w:r>
        <w:t xml:space="preserve"> </w:t>
      </w:r>
    </w:p>
    <w:p w:rsidR="00A22EB9" w:rsidRPr="004346F3" w:rsidRDefault="00A22EB9" w:rsidP="004346F3">
      <w:pPr>
        <w:ind w:left="1440" w:hanging="1440"/>
      </w:pPr>
      <w:r w:rsidRPr="004346F3">
        <w:t>2011 (</w:t>
      </w:r>
      <w:r>
        <w:t>јан</w:t>
      </w:r>
      <w:r w:rsidRPr="004346F3">
        <w:t xml:space="preserve">.) </w:t>
      </w:r>
      <w:r w:rsidRPr="004346F3">
        <w:tab/>
      </w:r>
      <w:r>
        <w:t>Colgate</w:t>
      </w:r>
      <w:r w:rsidRPr="004346F3">
        <w:t xml:space="preserve"> </w:t>
      </w:r>
      <w:r>
        <w:t>University</w:t>
      </w:r>
      <w:r w:rsidRPr="004346F3">
        <w:t xml:space="preserve">, </w:t>
      </w:r>
      <w:r>
        <w:t>Department</w:t>
      </w:r>
      <w:r w:rsidRPr="004346F3">
        <w:t xml:space="preserve"> </w:t>
      </w:r>
      <w:r>
        <w:t>of</w:t>
      </w:r>
      <w:r w:rsidRPr="004346F3">
        <w:t xml:space="preserve"> </w:t>
      </w:r>
      <w:r>
        <w:t xml:space="preserve">Religion </w:t>
      </w:r>
      <w:r w:rsidRPr="004346F3">
        <w:t>[</w:t>
      </w:r>
      <w:r>
        <w:t>Универзитет Колгејт (САД), Одсек за студије религије</w:t>
      </w:r>
      <w:r w:rsidRPr="004346F3">
        <w:t xml:space="preserve">] – </w:t>
      </w:r>
      <w:r>
        <w:t>предавање по позиву на тему</w:t>
      </w:r>
      <w:r w:rsidRPr="004346F3">
        <w:t xml:space="preserve"> “</w:t>
      </w:r>
      <w:r>
        <w:t>Liturgical</w:t>
      </w:r>
      <w:r w:rsidRPr="004346F3">
        <w:t xml:space="preserve"> </w:t>
      </w:r>
      <w:r>
        <w:t>Space</w:t>
      </w:r>
      <w:r w:rsidRPr="004346F3">
        <w:t xml:space="preserve"> </w:t>
      </w:r>
      <w:r>
        <w:t>in</w:t>
      </w:r>
      <w:r w:rsidRPr="004346F3">
        <w:t xml:space="preserve"> </w:t>
      </w:r>
      <w:r>
        <w:t>an</w:t>
      </w:r>
      <w:r w:rsidRPr="004346F3">
        <w:t xml:space="preserve"> </w:t>
      </w:r>
      <w:r>
        <w:t>Orthodox</w:t>
      </w:r>
      <w:r w:rsidRPr="004346F3">
        <w:t xml:space="preserve"> </w:t>
      </w:r>
      <w:r>
        <w:t>Christian</w:t>
      </w:r>
      <w:r w:rsidRPr="004346F3">
        <w:t xml:space="preserve"> </w:t>
      </w:r>
      <w:r>
        <w:t>Church</w:t>
      </w:r>
      <w:r w:rsidRPr="004346F3">
        <w:t>” [</w:t>
      </w:r>
      <w:r>
        <w:t>„Богослужбени простор у православној цркви“</w:t>
      </w:r>
      <w:r w:rsidRPr="004346F3">
        <w:t>]</w:t>
      </w:r>
      <w:r>
        <w:t xml:space="preserve"> у оквиру предмета RELG</w:t>
      </w:r>
      <w:r w:rsidRPr="004346F3">
        <w:t xml:space="preserve"> 332 </w:t>
      </w:r>
      <w:r>
        <w:t>A</w:t>
      </w:r>
      <w:r w:rsidRPr="004346F3">
        <w:t xml:space="preserve"> – </w:t>
      </w:r>
      <w:r>
        <w:t>Contemporary</w:t>
      </w:r>
      <w:r w:rsidRPr="004346F3">
        <w:t xml:space="preserve"> </w:t>
      </w:r>
      <w:r>
        <w:t>Religious</w:t>
      </w:r>
      <w:r w:rsidRPr="004346F3">
        <w:t xml:space="preserve"> </w:t>
      </w:r>
      <w:r>
        <w:t>Thought</w:t>
      </w:r>
      <w:r w:rsidRPr="004346F3">
        <w:t xml:space="preserve">: </w:t>
      </w:r>
      <w:r>
        <w:t>Eastern</w:t>
      </w:r>
      <w:r w:rsidRPr="004346F3">
        <w:t xml:space="preserve"> </w:t>
      </w:r>
      <w:r>
        <w:t>Christian</w:t>
      </w:r>
      <w:r w:rsidRPr="004346F3">
        <w:t xml:space="preserve"> </w:t>
      </w:r>
      <w:r>
        <w:t xml:space="preserve">Spirituality </w:t>
      </w:r>
      <w:r w:rsidRPr="004346F3">
        <w:t>[</w:t>
      </w:r>
      <w:r>
        <w:t>Савремена религиозна мисао: Источнохришћанска духовност</w:t>
      </w:r>
      <w:r w:rsidRPr="004346F3">
        <w:t>]</w:t>
      </w:r>
      <w:r>
        <w:t xml:space="preserve"> професора Кевина Кејлиша </w:t>
      </w:r>
      <w:r w:rsidRPr="004346F3">
        <w:t>[</w:t>
      </w:r>
      <w:r>
        <w:t>Kevin</w:t>
      </w:r>
      <w:r w:rsidRPr="004346F3">
        <w:t xml:space="preserve"> </w:t>
      </w:r>
      <w:r>
        <w:t>J</w:t>
      </w:r>
      <w:r w:rsidRPr="004346F3">
        <w:t xml:space="preserve">. </w:t>
      </w:r>
      <w:r>
        <w:t>Kalish</w:t>
      </w:r>
      <w:r w:rsidRPr="004346F3">
        <w:t xml:space="preserve">] </w:t>
      </w:r>
    </w:p>
    <w:p w:rsidR="00A22EB9" w:rsidRPr="007627C6" w:rsidRDefault="00A22EB9" w:rsidP="004346F3">
      <w:pPr>
        <w:ind w:left="1440" w:hanging="1440"/>
      </w:pPr>
      <w:r w:rsidRPr="004346F3">
        <w:t>2010 (</w:t>
      </w:r>
      <w:r>
        <w:t>јун</w:t>
      </w:r>
      <w:r w:rsidRPr="004346F3">
        <w:t xml:space="preserve">) </w:t>
      </w:r>
      <w:r w:rsidRPr="004346F3">
        <w:tab/>
      </w:r>
      <w:r>
        <w:t>Манастир св. Јована Претече, Меникејска гора (Грчка)</w:t>
      </w:r>
      <w:r w:rsidRPr="007627C6">
        <w:t xml:space="preserve"> – </w:t>
      </w:r>
      <w:r>
        <w:t xml:space="preserve">предавање </w:t>
      </w:r>
      <w:r w:rsidRPr="007627C6">
        <w:t>“</w:t>
      </w:r>
      <w:r w:rsidRPr="006E0729">
        <w:t>The</w:t>
      </w:r>
      <w:r w:rsidRPr="007627C6">
        <w:t xml:space="preserve"> </w:t>
      </w:r>
      <w:r w:rsidRPr="006E0729">
        <w:t>World</w:t>
      </w:r>
      <w:r w:rsidRPr="007627C6">
        <w:t xml:space="preserve"> </w:t>
      </w:r>
      <w:r w:rsidRPr="006E0729">
        <w:t>of</w:t>
      </w:r>
      <w:r w:rsidRPr="007627C6">
        <w:t xml:space="preserve"> </w:t>
      </w:r>
      <w:r w:rsidRPr="006E0729">
        <w:t>Narthexes</w:t>
      </w:r>
      <w:r w:rsidRPr="007627C6">
        <w:t xml:space="preserve">: </w:t>
      </w:r>
      <w:r w:rsidRPr="006E0729">
        <w:t>The</w:t>
      </w:r>
      <w:r w:rsidRPr="007627C6">
        <w:t xml:space="preserve"> </w:t>
      </w:r>
      <w:r w:rsidRPr="006E0729">
        <w:t>Case</w:t>
      </w:r>
      <w:r w:rsidRPr="007627C6">
        <w:t xml:space="preserve"> </w:t>
      </w:r>
      <w:r w:rsidRPr="006E0729">
        <w:t>of</w:t>
      </w:r>
      <w:r w:rsidRPr="007627C6">
        <w:t xml:space="preserve"> </w:t>
      </w:r>
      <w:r w:rsidRPr="006E0729">
        <w:t>the</w:t>
      </w:r>
      <w:r w:rsidRPr="007627C6">
        <w:t xml:space="preserve"> </w:t>
      </w:r>
      <w:r w:rsidRPr="006E0729">
        <w:t>Katholikon</w:t>
      </w:r>
      <w:r w:rsidRPr="007627C6">
        <w:t xml:space="preserve"> </w:t>
      </w:r>
      <w:r w:rsidRPr="006E0729">
        <w:t>of</w:t>
      </w:r>
      <w:r w:rsidRPr="007627C6">
        <w:t xml:space="preserve"> </w:t>
      </w:r>
      <w:r w:rsidRPr="006E0729">
        <w:t>St</w:t>
      </w:r>
      <w:r w:rsidRPr="007627C6">
        <w:t xml:space="preserve">. </w:t>
      </w:r>
      <w:r w:rsidRPr="006E0729">
        <w:t>John</w:t>
      </w:r>
      <w:r w:rsidRPr="007627C6">
        <w:t xml:space="preserve"> </w:t>
      </w:r>
      <w:r w:rsidRPr="006E0729">
        <w:t>Prodromos</w:t>
      </w:r>
      <w:r w:rsidRPr="007627C6">
        <w:t xml:space="preserve"> </w:t>
      </w:r>
      <w:r w:rsidRPr="006E0729">
        <w:t>Monastery</w:t>
      </w:r>
      <w:r w:rsidRPr="007627C6">
        <w:t xml:space="preserve">” </w:t>
      </w:r>
      <w:r w:rsidRPr="00222D6D">
        <w:t>[</w:t>
      </w:r>
      <w:r>
        <w:t>„Свет припратā: Пример саборне цркве Манастира св. Јована Претече“</w:t>
      </w:r>
      <w:r w:rsidRPr="00222D6D">
        <w:t>]</w:t>
      </w:r>
      <w:r w:rsidRPr="007627C6">
        <w:t xml:space="preserve"> </w:t>
      </w:r>
      <w:r>
        <w:t>у оквиру шесте сезоне</w:t>
      </w:r>
      <w:r w:rsidRPr="007627C6">
        <w:t xml:space="preserve"> </w:t>
      </w:r>
      <w:r>
        <w:t>Истраживачког пројекта на Меникејској гори (</w:t>
      </w:r>
      <w:r w:rsidRPr="00AA6E7C">
        <w:t>Princeton</w:t>
      </w:r>
      <w:r w:rsidRPr="00F060E9">
        <w:t xml:space="preserve"> </w:t>
      </w:r>
      <w:r w:rsidRPr="00AA6E7C">
        <w:t>University</w:t>
      </w:r>
      <w:r w:rsidRPr="00F060E9">
        <w:t xml:space="preserve">, </w:t>
      </w:r>
      <w:r w:rsidRPr="00AA6E7C">
        <w:t>Mt</w:t>
      </w:r>
      <w:r w:rsidRPr="00F060E9">
        <w:t xml:space="preserve">. </w:t>
      </w:r>
      <w:r w:rsidRPr="00AA6E7C">
        <w:t>Menoikeion</w:t>
      </w:r>
      <w:r w:rsidRPr="00F060E9">
        <w:t xml:space="preserve"> </w:t>
      </w:r>
      <w:r w:rsidRPr="00AA6E7C">
        <w:t>Research</w:t>
      </w:r>
      <w:r w:rsidRPr="00F060E9">
        <w:t xml:space="preserve"> </w:t>
      </w:r>
      <w:r w:rsidRPr="00AA6E7C">
        <w:t>Project</w:t>
      </w:r>
      <w:r>
        <w:t>)</w:t>
      </w:r>
      <w:r w:rsidRPr="007627C6">
        <w:t xml:space="preserve"> </w:t>
      </w:r>
    </w:p>
    <w:p w:rsidR="00A22EB9" w:rsidRPr="00F97D55" w:rsidRDefault="00A22EB9" w:rsidP="004346F3">
      <w:pPr>
        <w:ind w:left="1440" w:hanging="1440"/>
      </w:pPr>
      <w:r w:rsidRPr="00725EB6">
        <w:t>2010 (</w:t>
      </w:r>
      <w:r>
        <w:t>април</w:t>
      </w:r>
      <w:r w:rsidRPr="00725EB6">
        <w:t xml:space="preserve">) </w:t>
      </w:r>
      <w:r w:rsidRPr="00725EB6">
        <w:tab/>
      </w:r>
      <w:r>
        <w:t>Princeton</w:t>
      </w:r>
      <w:r w:rsidRPr="00725EB6">
        <w:t xml:space="preserve"> </w:t>
      </w:r>
      <w:r>
        <w:t>University</w:t>
      </w:r>
      <w:r w:rsidRPr="00725EB6">
        <w:t xml:space="preserve">, </w:t>
      </w:r>
      <w:r>
        <w:t>Program</w:t>
      </w:r>
      <w:r w:rsidRPr="00725EB6">
        <w:t xml:space="preserve"> </w:t>
      </w:r>
      <w:r>
        <w:t>in</w:t>
      </w:r>
      <w:r w:rsidRPr="00725EB6">
        <w:t xml:space="preserve"> </w:t>
      </w:r>
      <w:r>
        <w:t>Hellenic</w:t>
      </w:r>
      <w:r w:rsidRPr="00725EB6">
        <w:t xml:space="preserve"> </w:t>
      </w:r>
      <w:r>
        <w:t xml:space="preserve">Studies </w:t>
      </w:r>
      <w:r w:rsidRPr="00725EB6">
        <w:t>[</w:t>
      </w:r>
      <w:r>
        <w:t>Универзитет Принстон, Програм хеленских студија</w:t>
      </w:r>
      <w:r w:rsidRPr="00725EB6">
        <w:t xml:space="preserve">] – </w:t>
      </w:r>
      <w:r>
        <w:t xml:space="preserve">јавно предавање/радионица по по позиву </w:t>
      </w:r>
      <w:r w:rsidRPr="00725EB6">
        <w:t>“</w:t>
      </w:r>
      <w:r>
        <w:t>The</w:t>
      </w:r>
      <w:r w:rsidRPr="00725EB6">
        <w:t xml:space="preserve"> </w:t>
      </w:r>
      <w:r>
        <w:t>Narthex</w:t>
      </w:r>
      <w:r w:rsidRPr="00725EB6">
        <w:t xml:space="preserve"> </w:t>
      </w:r>
      <w:r>
        <w:t>of</w:t>
      </w:r>
      <w:r w:rsidRPr="00725EB6">
        <w:t xml:space="preserve"> </w:t>
      </w:r>
      <w:r>
        <w:t>Hilandar</w:t>
      </w:r>
      <w:r w:rsidRPr="00725EB6">
        <w:t>’</w:t>
      </w:r>
      <w:r>
        <w:t>s</w:t>
      </w:r>
      <w:r w:rsidRPr="00725EB6">
        <w:t xml:space="preserve"> </w:t>
      </w:r>
      <w:r>
        <w:t>Katholikon</w:t>
      </w:r>
      <w:r w:rsidRPr="00725EB6">
        <w:t xml:space="preserve">: </w:t>
      </w:r>
      <w:r>
        <w:t>A</w:t>
      </w:r>
      <w:r w:rsidRPr="00725EB6">
        <w:t xml:space="preserve"> </w:t>
      </w:r>
      <w:r>
        <w:t>Shift</w:t>
      </w:r>
      <w:r w:rsidRPr="00725EB6">
        <w:t xml:space="preserve"> </w:t>
      </w:r>
      <w:r>
        <w:t>in</w:t>
      </w:r>
      <w:r w:rsidRPr="00725EB6">
        <w:t xml:space="preserve"> </w:t>
      </w:r>
      <w:r>
        <w:t>Architecture</w:t>
      </w:r>
      <w:r w:rsidRPr="00725EB6">
        <w:t xml:space="preserve"> </w:t>
      </w:r>
      <w:r>
        <w:t>of</w:t>
      </w:r>
      <w:r w:rsidRPr="00725EB6">
        <w:t xml:space="preserve"> </w:t>
      </w:r>
      <w:r>
        <w:t>Mount</w:t>
      </w:r>
      <w:r w:rsidRPr="00725EB6">
        <w:t xml:space="preserve"> </w:t>
      </w:r>
      <w:r>
        <w:t>Athos</w:t>
      </w:r>
      <w:r w:rsidRPr="00725EB6">
        <w:t xml:space="preserve">?” </w:t>
      </w:r>
      <w:r w:rsidRPr="002A6386">
        <w:t>[</w:t>
      </w:r>
      <w:r>
        <w:t>„Припрата хиландарске саборне цркве: Искорак у архитектри Свете Горе?“</w:t>
      </w:r>
      <w:r w:rsidRPr="002A6386">
        <w:t>]</w:t>
      </w:r>
      <w:r>
        <w:t xml:space="preserve"> </w:t>
      </w:r>
    </w:p>
    <w:p w:rsidR="00A22EB9" w:rsidRPr="005E047A" w:rsidRDefault="00A22EB9" w:rsidP="004346F3">
      <w:pPr>
        <w:ind w:left="1440" w:hanging="1440"/>
      </w:pPr>
      <w:r w:rsidRPr="004346F3">
        <w:t>2009 (</w:t>
      </w:r>
      <w:r>
        <w:t>нов</w:t>
      </w:r>
      <w:r w:rsidRPr="004346F3">
        <w:t xml:space="preserve">.) </w:t>
      </w:r>
      <w:r w:rsidRPr="004346F3">
        <w:tab/>
        <w:t>41</w:t>
      </w:r>
      <w:r w:rsidRPr="001546FA">
        <w:rPr>
          <w:vertAlign w:val="superscript"/>
        </w:rPr>
        <w:t>st</w:t>
      </w:r>
      <w:r w:rsidRPr="004346F3">
        <w:t xml:space="preserve"> </w:t>
      </w:r>
      <w:r>
        <w:t>National</w:t>
      </w:r>
      <w:r w:rsidRPr="004346F3">
        <w:t xml:space="preserve"> </w:t>
      </w:r>
      <w:r>
        <w:t>C</w:t>
      </w:r>
      <w:r w:rsidRPr="00EC755A">
        <w:t>onvention</w:t>
      </w:r>
      <w:r w:rsidRPr="004346F3">
        <w:t xml:space="preserve"> </w:t>
      </w:r>
      <w:r w:rsidRPr="00EC755A">
        <w:t>of</w:t>
      </w:r>
      <w:r w:rsidRPr="004346F3">
        <w:t xml:space="preserve"> </w:t>
      </w:r>
      <w:r w:rsidRPr="00EC755A">
        <w:t>the</w:t>
      </w:r>
      <w:r w:rsidRPr="004346F3">
        <w:t xml:space="preserve"> </w:t>
      </w:r>
      <w:r w:rsidRPr="00EC755A">
        <w:t>American</w:t>
      </w:r>
      <w:r w:rsidRPr="004346F3">
        <w:t xml:space="preserve"> </w:t>
      </w:r>
      <w:r w:rsidRPr="00EC755A">
        <w:t>Association</w:t>
      </w:r>
      <w:r w:rsidRPr="004346F3">
        <w:t xml:space="preserve"> </w:t>
      </w:r>
      <w:r w:rsidRPr="00EC755A">
        <w:t>for</w:t>
      </w:r>
      <w:r w:rsidRPr="004346F3">
        <w:t xml:space="preserve"> </w:t>
      </w:r>
      <w:r w:rsidRPr="00EC755A">
        <w:t>the</w:t>
      </w:r>
      <w:r w:rsidRPr="004346F3">
        <w:t xml:space="preserve"> </w:t>
      </w:r>
      <w:r w:rsidRPr="00EC755A">
        <w:t>Advancement</w:t>
      </w:r>
      <w:r w:rsidRPr="004346F3">
        <w:t xml:space="preserve"> </w:t>
      </w:r>
      <w:r w:rsidRPr="00EC755A">
        <w:t>of</w:t>
      </w:r>
      <w:r w:rsidRPr="004346F3">
        <w:t xml:space="preserve"> </w:t>
      </w:r>
      <w:r w:rsidRPr="00EC755A">
        <w:t>Slavic</w:t>
      </w:r>
      <w:r w:rsidRPr="004346F3">
        <w:t xml:space="preserve"> </w:t>
      </w:r>
      <w:r w:rsidRPr="00EC755A">
        <w:t>Studies</w:t>
      </w:r>
      <w:r>
        <w:t xml:space="preserve"> </w:t>
      </w:r>
      <w:r w:rsidRPr="004346F3">
        <w:t>[</w:t>
      </w:r>
      <w:r>
        <w:t>Четрдесет прва национална конвенција Америчког удружења за унапређење славистичких студија</w:t>
      </w:r>
      <w:r w:rsidRPr="004346F3">
        <w:t xml:space="preserve">], </w:t>
      </w:r>
      <w:r>
        <w:t>Бостон</w:t>
      </w:r>
      <w:r w:rsidRPr="004346F3">
        <w:t xml:space="preserve"> – </w:t>
      </w:r>
      <w:r>
        <w:t>панел</w:t>
      </w:r>
      <w:r w:rsidRPr="004346F3">
        <w:t xml:space="preserve"> “</w:t>
      </w:r>
      <w:r>
        <w:t>Forgotten</w:t>
      </w:r>
      <w:r w:rsidRPr="004346F3">
        <w:t xml:space="preserve"> </w:t>
      </w:r>
      <w:r>
        <w:t>Serbian</w:t>
      </w:r>
      <w:r w:rsidRPr="004346F3">
        <w:t xml:space="preserve"> </w:t>
      </w:r>
      <w:r>
        <w:t>Thinkers</w:t>
      </w:r>
      <w:r w:rsidRPr="004346F3">
        <w:t>” [</w:t>
      </w:r>
      <w:r>
        <w:t>„Заборављени српски мислиоци“</w:t>
      </w:r>
      <w:r w:rsidRPr="004346F3">
        <w:t>]</w:t>
      </w:r>
      <w:r>
        <w:t xml:space="preserve"> </w:t>
      </w:r>
      <w:r w:rsidRPr="004346F3">
        <w:t xml:space="preserve">– </w:t>
      </w:r>
      <w:r>
        <w:t>представио рад</w:t>
      </w:r>
      <w:r w:rsidRPr="004346F3">
        <w:t xml:space="preserve"> “</w:t>
      </w:r>
      <w:r w:rsidRPr="002A0645">
        <w:t>Milutin</w:t>
      </w:r>
      <w:r w:rsidRPr="004346F3">
        <w:t xml:space="preserve"> </w:t>
      </w:r>
      <w:r w:rsidRPr="002A0645">
        <w:t>Borisavljevi</w:t>
      </w:r>
      <w:r w:rsidRPr="004346F3">
        <w:t>ć (</w:t>
      </w:r>
      <w:r w:rsidRPr="002A0645">
        <w:t>Miloutine</w:t>
      </w:r>
      <w:r w:rsidRPr="004346F3">
        <w:t xml:space="preserve"> </w:t>
      </w:r>
      <w:r w:rsidRPr="002A0645">
        <w:t>Borissavli</w:t>
      </w:r>
      <w:r w:rsidRPr="004346F3">
        <w:t>é</w:t>
      </w:r>
      <w:r w:rsidRPr="002A0645">
        <w:t>vitch</w:t>
      </w:r>
      <w:r w:rsidRPr="004346F3">
        <w:t xml:space="preserve">) </w:t>
      </w:r>
      <w:r w:rsidRPr="002A0645">
        <w:t>and</w:t>
      </w:r>
      <w:r w:rsidRPr="004346F3">
        <w:t xml:space="preserve"> </w:t>
      </w:r>
      <w:r w:rsidRPr="002A0645">
        <w:t>His</w:t>
      </w:r>
      <w:r w:rsidRPr="004346F3">
        <w:t xml:space="preserve"> </w:t>
      </w:r>
      <w:r w:rsidRPr="002A0645">
        <w:t>Scientific</w:t>
      </w:r>
      <w:r w:rsidRPr="004346F3">
        <w:t xml:space="preserve"> </w:t>
      </w:r>
      <w:r w:rsidRPr="002A0645">
        <w:t>Aesthetics</w:t>
      </w:r>
      <w:r w:rsidRPr="004346F3">
        <w:t xml:space="preserve"> </w:t>
      </w:r>
      <w:r w:rsidRPr="002A0645">
        <w:t>of</w:t>
      </w:r>
      <w:r w:rsidRPr="004346F3">
        <w:t xml:space="preserve"> </w:t>
      </w:r>
      <w:r w:rsidRPr="002A0645">
        <w:t>Architecture</w:t>
      </w:r>
      <w:r w:rsidRPr="004346F3">
        <w:t xml:space="preserve"> </w:t>
      </w:r>
      <w:r w:rsidRPr="002A0645">
        <w:t>in</w:t>
      </w:r>
      <w:r w:rsidRPr="004346F3">
        <w:t xml:space="preserve"> </w:t>
      </w:r>
      <w:r w:rsidRPr="002A0645">
        <w:t>the</w:t>
      </w:r>
      <w:r w:rsidRPr="004346F3">
        <w:t xml:space="preserve"> </w:t>
      </w:r>
      <w:r w:rsidRPr="002A0645">
        <w:t>Age</w:t>
      </w:r>
      <w:r w:rsidRPr="004346F3">
        <w:t xml:space="preserve"> </w:t>
      </w:r>
      <w:r w:rsidRPr="002A0645">
        <w:t>of</w:t>
      </w:r>
      <w:r w:rsidRPr="004346F3">
        <w:t xml:space="preserve"> </w:t>
      </w:r>
      <w:r w:rsidRPr="002A0645">
        <w:t>Modernism</w:t>
      </w:r>
      <w:r w:rsidRPr="004346F3">
        <w:t>” [</w:t>
      </w:r>
      <w:r>
        <w:t>„Милутин Борисављевић и његова научна естетика архитектуре у доба модерне“</w:t>
      </w:r>
      <w:r w:rsidRPr="004346F3">
        <w:t>]</w:t>
      </w:r>
      <w:r>
        <w:t xml:space="preserve"> </w:t>
      </w:r>
    </w:p>
    <w:p w:rsidR="00A22EB9" w:rsidRPr="00D27E2F" w:rsidRDefault="00A22EB9" w:rsidP="004346F3">
      <w:pPr>
        <w:ind w:left="1440" w:hanging="1440"/>
      </w:pPr>
      <w:r w:rsidRPr="00E064DB">
        <w:t>2006 (</w:t>
      </w:r>
      <w:r>
        <w:t>нов</w:t>
      </w:r>
      <w:r w:rsidRPr="00E064DB">
        <w:t xml:space="preserve">.) </w:t>
      </w:r>
      <w:r w:rsidRPr="00E064DB">
        <w:tab/>
      </w:r>
      <w:r>
        <w:t>Princeton</w:t>
      </w:r>
      <w:r w:rsidRPr="00E064DB">
        <w:t xml:space="preserve"> </w:t>
      </w:r>
      <w:r>
        <w:t>University</w:t>
      </w:r>
      <w:r w:rsidRPr="00E064DB">
        <w:t xml:space="preserve">, </w:t>
      </w:r>
      <w:r>
        <w:t>Department</w:t>
      </w:r>
      <w:r w:rsidRPr="00E064DB">
        <w:t xml:space="preserve"> </w:t>
      </w:r>
      <w:r>
        <w:t>of</w:t>
      </w:r>
      <w:r w:rsidRPr="00E064DB">
        <w:t xml:space="preserve"> </w:t>
      </w:r>
      <w:r>
        <w:t>Art</w:t>
      </w:r>
      <w:r w:rsidRPr="00E064DB">
        <w:t xml:space="preserve"> </w:t>
      </w:r>
      <w:r>
        <w:t>and</w:t>
      </w:r>
      <w:r w:rsidRPr="00E064DB">
        <w:t xml:space="preserve"> </w:t>
      </w:r>
      <w:r>
        <w:t xml:space="preserve">Archaeology </w:t>
      </w:r>
      <w:r w:rsidRPr="00E064DB">
        <w:t>[</w:t>
      </w:r>
      <w:r>
        <w:t>Универзитет Принстон, Одсек за историју уметности и археологију</w:t>
      </w:r>
      <w:r w:rsidRPr="00E064DB">
        <w:t xml:space="preserve">] – </w:t>
      </w:r>
      <w:r>
        <w:t>предавање по позиву на тему</w:t>
      </w:r>
      <w:r w:rsidRPr="00E064DB">
        <w:t xml:space="preserve"> “</w:t>
      </w:r>
      <w:r>
        <w:t>Mount</w:t>
      </w:r>
      <w:r w:rsidRPr="00E064DB">
        <w:t xml:space="preserve"> </w:t>
      </w:r>
      <w:r>
        <w:t>Athos</w:t>
      </w:r>
      <w:r w:rsidRPr="00E064DB">
        <w:t xml:space="preserve">: </w:t>
      </w:r>
      <w:r>
        <w:t>An</w:t>
      </w:r>
      <w:r w:rsidRPr="00E064DB">
        <w:t xml:space="preserve"> </w:t>
      </w:r>
      <w:r>
        <w:t>Architectural</w:t>
      </w:r>
      <w:r w:rsidRPr="00E064DB">
        <w:t xml:space="preserve"> </w:t>
      </w:r>
      <w:r>
        <w:t>Itinerary</w:t>
      </w:r>
      <w:r w:rsidRPr="00E064DB">
        <w:t>” [</w:t>
      </w:r>
      <w:r>
        <w:t>„Света Гора: Један архитектонски итинерер“</w:t>
      </w:r>
      <w:r w:rsidRPr="00E064DB">
        <w:t>]</w:t>
      </w:r>
      <w:r>
        <w:t xml:space="preserve"> у оквиру семинара о средњовековној уметности</w:t>
      </w:r>
      <w:r w:rsidRPr="00E064DB">
        <w:t xml:space="preserve"> </w:t>
      </w:r>
      <w:r>
        <w:t xml:space="preserve">професора Слободана Ћурчића и професорке Нино Цхомелидзе </w:t>
      </w:r>
      <w:r w:rsidRPr="00D27E2F">
        <w:t>(</w:t>
      </w:r>
      <w:r>
        <w:t>Nino</w:t>
      </w:r>
      <w:r w:rsidRPr="00D27E2F">
        <w:t xml:space="preserve"> </w:t>
      </w:r>
      <w:r>
        <w:t>Zchomelidse</w:t>
      </w:r>
      <w:r w:rsidRPr="00D27E2F">
        <w:t xml:space="preserve">) </w:t>
      </w:r>
    </w:p>
    <w:p w:rsidR="00A22EB9" w:rsidRDefault="00A22EB9" w:rsidP="00A41D7E">
      <w:pPr>
        <w:jc w:val="both"/>
      </w:pPr>
    </w:p>
    <w:p w:rsidR="00A22EB9" w:rsidRPr="004346F3" w:rsidRDefault="00A22EB9" w:rsidP="004346F3">
      <w:pPr>
        <w:spacing w:after="120"/>
        <w:jc w:val="both"/>
        <w:rPr>
          <w:b/>
          <w:bCs/>
        </w:rPr>
      </w:pPr>
      <w:r w:rsidRPr="004346F3">
        <w:rPr>
          <w:b/>
          <w:bCs/>
        </w:rPr>
        <w:t>Чланства у научним одборима:</w:t>
      </w:r>
    </w:p>
    <w:p w:rsidR="00A22EB9" w:rsidRDefault="00A22EB9" w:rsidP="00A41D7E">
      <w:pPr>
        <w:jc w:val="both"/>
      </w:pPr>
      <w:r>
        <w:t>2017-               Хиландарски одбор Српске академија наука и уметности, Београд</w:t>
      </w:r>
    </w:p>
    <w:p w:rsidR="00A22EB9" w:rsidRDefault="00A22EB9" w:rsidP="00A41D7E">
      <w:pPr>
        <w:jc w:val="both"/>
      </w:pPr>
    </w:p>
    <w:p w:rsidR="00A22EB9" w:rsidRPr="00E71B85" w:rsidRDefault="00A22EB9" w:rsidP="00E82100">
      <w:pPr>
        <w:spacing w:before="360"/>
        <w:jc w:val="center"/>
        <w:rPr>
          <w:b/>
          <w:bCs/>
          <w:sz w:val="28"/>
          <w:szCs w:val="28"/>
        </w:rPr>
      </w:pPr>
      <w:r w:rsidRPr="00E71B85">
        <w:rPr>
          <w:b/>
          <w:bCs/>
          <w:sz w:val="28"/>
          <w:szCs w:val="28"/>
        </w:rPr>
        <w:t>7. Оцена успешности руковођења научним радом</w:t>
      </w:r>
    </w:p>
    <w:p w:rsidR="00A22EB9" w:rsidRDefault="00A22EB9" w:rsidP="00A41D7E">
      <w:pPr>
        <w:jc w:val="both"/>
      </w:pPr>
    </w:p>
    <w:p w:rsidR="00A22EB9" w:rsidRDefault="00A22EB9" w:rsidP="00E71B85">
      <w:pPr>
        <w:ind w:firstLine="720"/>
        <w:jc w:val="both"/>
      </w:pPr>
      <w:r>
        <w:t>У периоду од 2004. до 2017. др Небојша Станковић боравио је на постдипломским и докторским студијама у САД, па није био у прилици да учествује у организацији и руковођењу научним радом у домовини.</w:t>
      </w:r>
    </w:p>
    <w:p w:rsidR="00A22EB9" w:rsidRDefault="00A22EB9" w:rsidP="00E82100">
      <w:pPr>
        <w:spacing w:before="360"/>
        <w:jc w:val="center"/>
      </w:pPr>
      <w:r w:rsidRPr="001D2498">
        <w:rPr>
          <w:b/>
          <w:bCs/>
          <w:sz w:val="28"/>
          <w:szCs w:val="28"/>
        </w:rPr>
        <w:t>8. Квантитативна оцена кандидатових научних резултата и испуњености услова за избор у научно звање научног сарадник</w:t>
      </w:r>
      <w:r>
        <w:t>а</w:t>
      </w:r>
    </w:p>
    <w:p w:rsidR="00A22EB9" w:rsidRDefault="00A22EB9" w:rsidP="00E71B85">
      <w:pPr>
        <w:jc w:val="both"/>
      </w:pPr>
    </w:p>
    <w:p w:rsidR="00A22EB9" w:rsidRDefault="00A22EB9" w:rsidP="001D2498">
      <w:pPr>
        <w:ind w:firstLine="720"/>
        <w:jc w:val="both"/>
      </w:pPr>
      <w:r w:rsidRPr="00DC5F32">
        <w:rPr>
          <w:lang w:val="ru-RU"/>
        </w:rPr>
        <w:t xml:space="preserve">Из наведене библиографије др </w:t>
      </w:r>
      <w:r>
        <w:rPr>
          <w:lang w:val="ru-RU"/>
        </w:rPr>
        <w:t>Небојше Станковића</w:t>
      </w:r>
      <w:r w:rsidRPr="00DC5F32">
        <w:rPr>
          <w:lang w:val="ru-RU"/>
        </w:rPr>
        <w:t>, као и прегледа ње</w:t>
      </w:r>
      <w:r>
        <w:rPr>
          <w:lang w:val="ru-RU"/>
        </w:rPr>
        <w:t>гов</w:t>
      </w:r>
      <w:r w:rsidRPr="00DC5F32">
        <w:rPr>
          <w:lang w:val="ru-RU"/>
        </w:rPr>
        <w:t>ог научног и стручног рада, јасно се може закључити да је кандидат остварио вредне научне резултате</w:t>
      </w:r>
      <w:r w:rsidRPr="00DC5F32">
        <w:t xml:space="preserve"> кој</w:t>
      </w:r>
      <w:r>
        <w:t>и</w:t>
      </w:r>
      <w:r w:rsidRPr="00DC5F32">
        <w:t xml:space="preserve"> га и формално и суштински квалификују за избор у звање научног сарадника</w:t>
      </w:r>
      <w:r w:rsidRPr="00DC5F32">
        <w:rPr>
          <w:lang w:val="ru-RU"/>
        </w:rPr>
        <w:t xml:space="preserve">. </w:t>
      </w:r>
      <w:r w:rsidRPr="00DC5F32">
        <w:rPr>
          <w:noProof/>
          <w:lang w:val="sr-Cyrl-CS"/>
        </w:rPr>
        <w:t>Ти</w:t>
      </w:r>
      <w:r w:rsidRPr="00DC5F32">
        <w:rPr>
          <w:rStyle w:val="apple-style-span"/>
          <w:color w:val="000000"/>
          <w:lang w:val="sr-Cyrl-CS"/>
        </w:rPr>
        <w:t xml:space="preserve"> резултати, наиме, сасвим задовољавају  услове прописане</w:t>
      </w:r>
      <w:r w:rsidRPr="00DC5F32">
        <w:rPr>
          <w:rStyle w:val="apple-style-span"/>
          <w:i/>
          <w:iCs/>
          <w:color w:val="000000"/>
          <w:lang w:val="sr-Cyrl-CS"/>
        </w:rPr>
        <w:t xml:space="preserve"> Законом о научноистраживачкој делатности</w:t>
      </w:r>
      <w:r w:rsidRPr="00DC5F32">
        <w:rPr>
          <w:rStyle w:val="apple-style-span"/>
          <w:color w:val="000000"/>
          <w:lang w:val="sr-Cyrl-CS"/>
        </w:rPr>
        <w:t xml:space="preserve"> и </w:t>
      </w:r>
      <w:r w:rsidRPr="00DC5F32">
        <w:rPr>
          <w:i/>
          <w:iCs/>
          <w:lang w:val="sr-Cyrl-CS" w:eastAsia="sr-Latn-CS"/>
        </w:rPr>
        <w:t>Правилником о поступку и начину вредновања и квантитативном исказивању научноуистраживачких резултата истраживача</w:t>
      </w:r>
      <w:r w:rsidRPr="00DC5F32">
        <w:rPr>
          <w:noProof/>
          <w:lang w:val="sr-Cyrl-CS"/>
        </w:rPr>
        <w:t xml:space="preserve">. Конкретно, др </w:t>
      </w:r>
      <w:r>
        <w:rPr>
          <w:noProof/>
          <w:lang w:val="sr-Cyrl-CS"/>
        </w:rPr>
        <w:t>Станковић</w:t>
      </w:r>
      <w:r w:rsidRPr="00DC5F32">
        <w:rPr>
          <w:noProof/>
          <w:lang w:val="sr-Cyrl-CS"/>
        </w:rPr>
        <w:t xml:space="preserve"> је од почетка бављења научним радом оствари</w:t>
      </w:r>
      <w:r>
        <w:rPr>
          <w:noProof/>
          <w:lang w:val="sr-Cyrl-CS"/>
        </w:rPr>
        <w:t>о</w:t>
      </w:r>
      <w:r w:rsidRPr="00DC5F32">
        <w:rPr>
          <w:noProof/>
          <w:lang w:val="sr-Cyrl-CS"/>
        </w:rPr>
        <w:t xml:space="preserve"> укупно </w:t>
      </w:r>
      <w:r w:rsidRPr="00C834C2">
        <w:rPr>
          <w:b/>
          <w:bCs/>
          <w:noProof/>
          <w:lang w:val="sr-Cyrl-CS"/>
        </w:rPr>
        <w:t>3</w:t>
      </w:r>
      <w:r>
        <w:rPr>
          <w:b/>
          <w:bCs/>
          <w:noProof/>
          <w:lang w:val="sr-Cyrl-CS"/>
        </w:rPr>
        <w:t>0</w:t>
      </w:r>
      <w:r w:rsidRPr="002049E1">
        <w:rPr>
          <w:b/>
          <w:bCs/>
          <w:noProof/>
          <w:lang w:val="sr-Cyrl-CS"/>
        </w:rPr>
        <w:t xml:space="preserve"> </w:t>
      </w:r>
      <w:r w:rsidRPr="00DC5F32">
        <w:rPr>
          <w:noProof/>
          <w:lang w:val="sr-Cyrl-CS"/>
        </w:rPr>
        <w:t xml:space="preserve">поена. Од тога првој категорији радова припадају радови који су бодовани </w:t>
      </w:r>
      <w:r w:rsidRPr="00434D9F">
        <w:rPr>
          <w:noProof/>
          <w:lang w:val="sr-Cyrl-CS"/>
        </w:rPr>
        <w:t xml:space="preserve">са </w:t>
      </w:r>
      <w:r>
        <w:rPr>
          <w:noProof/>
          <w:lang w:val="sr-Cyrl-CS"/>
        </w:rPr>
        <w:t>20</w:t>
      </w:r>
      <w:r w:rsidRPr="00434D9F">
        <w:rPr>
          <w:noProof/>
          <w:lang w:val="sr-Cyrl-CS"/>
        </w:rPr>
        <w:t xml:space="preserve"> поена, док се у другу категорији радова сврставају његови радови који су бодовани са </w:t>
      </w:r>
      <w:r>
        <w:rPr>
          <w:noProof/>
          <w:lang w:val="sr-Cyrl-CS"/>
        </w:rPr>
        <w:t>11</w:t>
      </w:r>
      <w:r w:rsidRPr="00434D9F">
        <w:rPr>
          <w:noProof/>
          <w:lang w:val="sr-Cyrl-CS"/>
        </w:rPr>
        <w:t xml:space="preserve"> поена.</w:t>
      </w:r>
    </w:p>
    <w:p w:rsidR="00A22EB9" w:rsidRDefault="00A22EB9" w:rsidP="00E71B85">
      <w:pPr>
        <w:jc w:val="both"/>
      </w:pPr>
    </w:p>
    <w:p w:rsidR="00A22EB9" w:rsidRPr="00DC5F32" w:rsidRDefault="00A22EB9" w:rsidP="001D2498">
      <w:pPr>
        <w:autoSpaceDE w:val="0"/>
        <w:autoSpaceDN w:val="0"/>
        <w:adjustRightInd w:val="0"/>
        <w:ind w:firstLine="720"/>
        <w:jc w:val="both"/>
        <w:rPr>
          <w:lang w:val="sr-Cyrl-CS" w:eastAsia="sr-Latn-CS"/>
        </w:rPr>
      </w:pPr>
      <w:r w:rsidRPr="00DC5F32">
        <w:rPr>
          <w:noProof/>
          <w:lang w:val="sr-Cyrl-CS"/>
        </w:rPr>
        <w:t xml:space="preserve">Према </w:t>
      </w:r>
      <w:r w:rsidRPr="00DC5F32">
        <w:rPr>
          <w:i/>
          <w:iCs/>
          <w:lang w:val="sr-Cyrl-CS" w:eastAsia="sr-Latn-CS"/>
        </w:rPr>
        <w:t>Правилнику о поступку и начину вредновања и квантитативном исказивању научноуистраживачких резултата истраживача</w:t>
      </w:r>
      <w:r w:rsidRPr="00DC5F32">
        <w:rPr>
          <w:lang w:val="sr-Cyrl-CS" w:eastAsia="sr-Latn-CS"/>
        </w:rPr>
        <w:t>, за избор у звање научног сарадника, у оквиру групације друштвених и хуманистичких наука, потребно је најмање укупно 16 поена, од чега мора бити најмање 10 поена из категорије “</w:t>
      </w:r>
      <w:r w:rsidRPr="00CE4640">
        <w:rPr>
          <w:lang w:val="sr-Cyrl-CS"/>
        </w:rPr>
        <w:t xml:space="preserve"> </w:t>
      </w:r>
      <w:r w:rsidRPr="00145229">
        <w:rPr>
          <w:lang w:val="sr-Cyrl-CS"/>
        </w:rPr>
        <w:t>М10+М20+М31+М32+М33+М41+М42+М43+М44+М45+М51+М52</w:t>
      </w:r>
      <w:r w:rsidRPr="00DC5F32">
        <w:rPr>
          <w:rFonts w:eastAsia="TimesNewRoman"/>
          <w:lang w:val="ru-RU"/>
        </w:rPr>
        <w:t>”</w:t>
      </w:r>
      <w:r w:rsidRPr="00DC5F32">
        <w:rPr>
          <w:lang w:val="sr-Cyrl-CS" w:eastAsia="sr-Latn-CS"/>
        </w:rPr>
        <w:t xml:space="preserve">,  </w:t>
      </w:r>
    </w:p>
    <w:p w:rsidR="00A22EB9" w:rsidRPr="00DC5F32" w:rsidRDefault="00A22EB9" w:rsidP="001D2498">
      <w:pPr>
        <w:autoSpaceDE w:val="0"/>
        <w:autoSpaceDN w:val="0"/>
        <w:adjustRightInd w:val="0"/>
        <w:ind w:firstLine="720"/>
        <w:jc w:val="both"/>
        <w:rPr>
          <w:lang w:val="sr-Cyrl-CS" w:eastAsia="sr-Latn-CS"/>
        </w:rPr>
      </w:pPr>
      <w:r w:rsidRPr="00DC5F32">
        <w:rPr>
          <w:lang w:val="sr-Cyrl-CS" w:eastAsia="sr-Latn-CS"/>
        </w:rPr>
        <w:t>а најмање 7 поена из категорија “</w:t>
      </w:r>
      <w:r w:rsidRPr="00CE4640">
        <w:rPr>
          <w:sz w:val="22"/>
          <w:szCs w:val="22"/>
          <w:lang w:val="sr-Cyrl-CS"/>
        </w:rPr>
        <w:t xml:space="preserve"> </w:t>
      </w:r>
      <w:r w:rsidRPr="00D8306B">
        <w:rPr>
          <w:sz w:val="22"/>
          <w:szCs w:val="22"/>
        </w:rPr>
        <w:t>M</w:t>
      </w:r>
      <w:r w:rsidRPr="00D8306B">
        <w:rPr>
          <w:sz w:val="22"/>
          <w:szCs w:val="22"/>
          <w:lang w:val="sr-Cyrl-CS"/>
        </w:rPr>
        <w:t>11+</w:t>
      </w:r>
      <w:r w:rsidRPr="00D8306B">
        <w:rPr>
          <w:sz w:val="22"/>
          <w:szCs w:val="22"/>
        </w:rPr>
        <w:t>M</w:t>
      </w:r>
      <w:r w:rsidRPr="00D8306B">
        <w:rPr>
          <w:sz w:val="22"/>
          <w:szCs w:val="22"/>
          <w:lang w:val="sr-Cyrl-CS"/>
        </w:rPr>
        <w:t>12+</w:t>
      </w:r>
      <w:r w:rsidRPr="00D8306B">
        <w:rPr>
          <w:sz w:val="22"/>
          <w:szCs w:val="22"/>
        </w:rPr>
        <w:t>M</w:t>
      </w:r>
      <w:r w:rsidRPr="00D8306B">
        <w:rPr>
          <w:sz w:val="22"/>
          <w:szCs w:val="22"/>
          <w:lang w:val="sr-Cyrl-CS"/>
        </w:rPr>
        <w:t>13+</w:t>
      </w:r>
      <w:r w:rsidRPr="00D8306B">
        <w:rPr>
          <w:sz w:val="22"/>
          <w:szCs w:val="22"/>
        </w:rPr>
        <w:t>M</w:t>
      </w:r>
      <w:r w:rsidRPr="00D8306B">
        <w:rPr>
          <w:sz w:val="22"/>
          <w:szCs w:val="22"/>
          <w:lang w:val="sr-Cyrl-CS"/>
        </w:rPr>
        <w:t>14+</w:t>
      </w:r>
      <w:r w:rsidRPr="00D8306B">
        <w:rPr>
          <w:sz w:val="22"/>
          <w:szCs w:val="22"/>
        </w:rPr>
        <w:t>M</w:t>
      </w:r>
      <w:r w:rsidRPr="00D8306B">
        <w:rPr>
          <w:sz w:val="22"/>
          <w:szCs w:val="22"/>
          <w:lang w:val="sr-Cyrl-CS"/>
        </w:rPr>
        <w:t>21+</w:t>
      </w:r>
      <w:r w:rsidRPr="00D8306B">
        <w:rPr>
          <w:sz w:val="22"/>
          <w:szCs w:val="22"/>
        </w:rPr>
        <w:t>M</w:t>
      </w:r>
      <w:r w:rsidRPr="00D8306B">
        <w:rPr>
          <w:sz w:val="22"/>
          <w:szCs w:val="22"/>
          <w:lang w:val="sr-Cyrl-CS"/>
        </w:rPr>
        <w:t>22+</w:t>
      </w:r>
      <w:r w:rsidRPr="00D8306B">
        <w:rPr>
          <w:sz w:val="22"/>
          <w:szCs w:val="22"/>
        </w:rPr>
        <w:t>M</w:t>
      </w:r>
      <w:r w:rsidRPr="00D8306B">
        <w:rPr>
          <w:sz w:val="22"/>
          <w:szCs w:val="22"/>
          <w:lang w:val="sr-Cyrl-CS"/>
        </w:rPr>
        <w:t>23+</w:t>
      </w:r>
      <w:r w:rsidRPr="00D8306B">
        <w:rPr>
          <w:sz w:val="22"/>
          <w:szCs w:val="22"/>
        </w:rPr>
        <w:t>M</w:t>
      </w:r>
      <w:r w:rsidRPr="00D8306B">
        <w:rPr>
          <w:sz w:val="22"/>
          <w:szCs w:val="22"/>
          <w:lang w:val="sr-Cyrl-CS"/>
        </w:rPr>
        <w:t>24+</w:t>
      </w:r>
      <w:r w:rsidRPr="00D8306B">
        <w:rPr>
          <w:sz w:val="22"/>
          <w:szCs w:val="22"/>
        </w:rPr>
        <w:t>M</w:t>
      </w:r>
      <w:r w:rsidRPr="00D8306B">
        <w:rPr>
          <w:sz w:val="22"/>
          <w:szCs w:val="22"/>
          <w:lang w:val="sr-Cyrl-CS"/>
        </w:rPr>
        <w:t>31+</w:t>
      </w:r>
      <w:r w:rsidRPr="00D8306B">
        <w:rPr>
          <w:sz w:val="22"/>
          <w:szCs w:val="22"/>
        </w:rPr>
        <w:t>M</w:t>
      </w:r>
      <w:r w:rsidRPr="00D8306B">
        <w:rPr>
          <w:sz w:val="22"/>
          <w:szCs w:val="22"/>
          <w:lang w:val="sr-Cyrl-CS"/>
        </w:rPr>
        <w:t>41+</w:t>
      </w:r>
      <w:r w:rsidRPr="00D8306B">
        <w:rPr>
          <w:sz w:val="22"/>
          <w:szCs w:val="22"/>
        </w:rPr>
        <w:t>M</w:t>
      </w:r>
      <w:r w:rsidRPr="00D8306B">
        <w:rPr>
          <w:sz w:val="22"/>
          <w:szCs w:val="22"/>
          <w:lang w:val="sr-Cyrl-CS"/>
        </w:rPr>
        <w:t>42+</w:t>
      </w:r>
      <w:r w:rsidRPr="00D8306B">
        <w:rPr>
          <w:sz w:val="22"/>
          <w:szCs w:val="22"/>
        </w:rPr>
        <w:t>M</w:t>
      </w:r>
      <w:r w:rsidRPr="00D8306B">
        <w:rPr>
          <w:sz w:val="22"/>
          <w:szCs w:val="22"/>
          <w:lang w:val="sr-Cyrl-CS"/>
        </w:rPr>
        <w:t>51</w:t>
      </w:r>
      <w:r w:rsidRPr="00DC5F32">
        <w:rPr>
          <w:rFonts w:eastAsia="TimesNewRoman"/>
        </w:rPr>
        <w:t>”</w:t>
      </w:r>
      <w:r w:rsidRPr="00DC5F32">
        <w:rPr>
          <w:lang w:val="sr-Cyrl-CS" w:eastAsia="sr-Latn-CS"/>
        </w:rPr>
        <w:t xml:space="preserve">. </w:t>
      </w:r>
    </w:p>
    <w:p w:rsidR="00A22EB9" w:rsidRPr="00DC5F32" w:rsidRDefault="00A22EB9" w:rsidP="001D2498">
      <w:pPr>
        <w:pStyle w:val="BodyTextIndent"/>
        <w:spacing w:after="0" w:line="240" w:lineRule="auto"/>
        <w:rPr>
          <w:b/>
          <w:bCs/>
        </w:rPr>
      </w:pPr>
    </w:p>
    <w:p w:rsidR="00A22EB9" w:rsidRDefault="00A22EB9" w:rsidP="001D2498">
      <w:pPr>
        <w:pStyle w:val="BodyTextIndent"/>
        <w:spacing w:after="0" w:line="240" w:lineRule="auto"/>
        <w:rPr>
          <w:b/>
          <w:bCs/>
        </w:rPr>
      </w:pPr>
    </w:p>
    <w:p w:rsidR="00A22EB9" w:rsidRDefault="00A22EB9" w:rsidP="001D2498">
      <w:pPr>
        <w:jc w:val="both"/>
      </w:pPr>
      <w:r w:rsidRPr="001D2498">
        <w:rPr>
          <w:b/>
          <w:bCs/>
          <w:lang w:val="sr-Cyrl-CS"/>
        </w:rPr>
        <w:t xml:space="preserve">                    Табела са квантитативном оценом кандидата</w:t>
      </w:r>
    </w:p>
    <w:p w:rsidR="00A22EB9" w:rsidRPr="000972F6" w:rsidRDefault="00A22EB9" w:rsidP="00F04F2B">
      <w:pPr>
        <w:spacing w:line="360" w:lineRule="auto"/>
        <w:ind w:firstLine="720"/>
        <w:jc w:val="both"/>
        <w:rPr>
          <w:b/>
          <w:bCs/>
          <w:lang w:val="sr-Cyrl-CS"/>
        </w:rPr>
      </w:pPr>
    </w:p>
    <w:tbl>
      <w:tblPr>
        <w:tblW w:w="9810" w:type="dxa"/>
        <w:tblInd w:w="2" w:type="dxa"/>
        <w:tblBorders>
          <w:top w:val="single" w:sz="4" w:space="0" w:color="auto"/>
          <w:left w:val="single" w:sz="4" w:space="0" w:color="auto"/>
          <w:bottom w:val="single" w:sz="4" w:space="0" w:color="auto"/>
          <w:right w:val="single" w:sz="4" w:space="0" w:color="auto"/>
        </w:tblBorders>
        <w:tblLayout w:type="fixed"/>
        <w:tblLook w:val="0000"/>
      </w:tblPr>
      <w:tblGrid>
        <w:gridCol w:w="1361"/>
        <w:gridCol w:w="4452"/>
        <w:gridCol w:w="1289"/>
        <w:gridCol w:w="2708"/>
      </w:tblGrid>
      <w:tr w:rsidR="00A22EB9" w:rsidRPr="0022706D">
        <w:trPr>
          <w:cantSplit/>
        </w:trPr>
        <w:tc>
          <w:tcPr>
            <w:tcW w:w="1361" w:type="dxa"/>
            <w:vMerge w:val="restart"/>
            <w:tcBorders>
              <w:top w:val="single" w:sz="4" w:space="0" w:color="auto"/>
              <w:bottom w:val="threeDEmboss" w:sz="6" w:space="0" w:color="auto"/>
              <w:right w:val="single" w:sz="4" w:space="0" w:color="auto"/>
            </w:tcBorders>
          </w:tcPr>
          <w:p w:rsidR="00A22EB9" w:rsidRPr="000972F6" w:rsidRDefault="00A22EB9" w:rsidP="00A46D10">
            <w:pPr>
              <w:spacing w:line="360" w:lineRule="auto"/>
              <w:ind w:firstLine="720"/>
              <w:rPr>
                <w:lang w:val="sr-Cyrl-CS"/>
              </w:rPr>
            </w:pPr>
            <w:r w:rsidRPr="000972F6">
              <w:rPr>
                <w:lang w:val="sr-Cyrl-CS"/>
              </w:rPr>
              <w:t>Диференцијални услов-</w:t>
            </w:r>
            <w:r w:rsidRPr="000972F6">
              <w:rPr>
                <w:lang w:val="ru-RU"/>
              </w:rPr>
              <w:t xml:space="preserve"> </w:t>
            </w:r>
            <w:r w:rsidRPr="000972F6">
              <w:rPr>
                <w:lang w:val="sr-Cyrl-CS"/>
              </w:rPr>
              <w:t>Од првог избора у претходно звање до избора у звање..........</w:t>
            </w:r>
          </w:p>
        </w:tc>
        <w:tc>
          <w:tcPr>
            <w:tcW w:w="8449" w:type="dxa"/>
            <w:gridSpan w:val="3"/>
            <w:tcBorders>
              <w:top w:val="single" w:sz="4" w:space="0" w:color="auto"/>
              <w:left w:val="single" w:sz="4" w:space="0" w:color="auto"/>
              <w:bottom w:val="single" w:sz="4" w:space="0" w:color="auto"/>
            </w:tcBorders>
          </w:tcPr>
          <w:p w:rsidR="00A22EB9" w:rsidRPr="000972F6" w:rsidRDefault="00A22EB9" w:rsidP="00A46D10">
            <w:pPr>
              <w:spacing w:line="360" w:lineRule="auto"/>
              <w:ind w:firstLine="720"/>
              <w:jc w:val="both"/>
              <w:rPr>
                <w:lang w:val="sr-Cyrl-CS"/>
              </w:rPr>
            </w:pPr>
            <w:r w:rsidRPr="000972F6">
              <w:rPr>
                <w:lang w:val="sr-Cyrl-CS"/>
              </w:rPr>
              <w:t>потребно је да кандидат има најмање ХХ поена,</w:t>
            </w:r>
          </w:p>
          <w:p w:rsidR="00A22EB9" w:rsidRPr="000972F6" w:rsidRDefault="00A22EB9" w:rsidP="00A46D10">
            <w:pPr>
              <w:spacing w:line="360" w:lineRule="auto"/>
              <w:ind w:firstLine="720"/>
              <w:jc w:val="both"/>
              <w:rPr>
                <w:lang w:val="sr-Cyrl-CS"/>
              </w:rPr>
            </w:pPr>
            <w:r w:rsidRPr="000972F6">
              <w:rPr>
                <w:lang w:val="sr-Cyrl-CS"/>
              </w:rPr>
              <w:t>који треба да припадају следећим категоријама:</w:t>
            </w:r>
          </w:p>
        </w:tc>
      </w:tr>
      <w:tr w:rsidR="00A22EB9" w:rsidRPr="0022706D">
        <w:trPr>
          <w:gridAfter w:val="3"/>
          <w:wAfter w:w="8449" w:type="dxa"/>
          <w:cantSplit/>
          <w:trHeight w:val="579"/>
        </w:trPr>
        <w:tc>
          <w:tcPr>
            <w:tcW w:w="1361" w:type="dxa"/>
            <w:vMerge/>
            <w:tcBorders>
              <w:top w:val="single" w:sz="4" w:space="0" w:color="auto"/>
              <w:bottom w:val="threeDEmboss" w:sz="6" w:space="0" w:color="auto"/>
            </w:tcBorders>
            <w:vAlign w:val="center"/>
          </w:tcPr>
          <w:p w:rsidR="00A22EB9" w:rsidRPr="000972F6" w:rsidRDefault="00A22EB9" w:rsidP="00A46D10">
            <w:pPr>
              <w:spacing w:line="360" w:lineRule="auto"/>
              <w:ind w:firstLine="720"/>
              <w:jc w:val="both"/>
              <w:rPr>
                <w:lang w:val="sr-Cyrl-CS"/>
              </w:rPr>
            </w:pPr>
          </w:p>
        </w:tc>
      </w:tr>
      <w:tr w:rsidR="00A22EB9" w:rsidRPr="000972F6">
        <w:trPr>
          <w:cantSplit/>
        </w:trPr>
        <w:tc>
          <w:tcPr>
            <w:tcW w:w="1361" w:type="dxa"/>
            <w:vMerge/>
            <w:tcBorders>
              <w:top w:val="single" w:sz="4" w:space="0" w:color="auto"/>
              <w:bottom w:val="threeDEmboss" w:sz="6" w:space="0" w:color="auto"/>
              <w:right w:val="single" w:sz="4" w:space="0" w:color="auto"/>
            </w:tcBorders>
            <w:vAlign w:val="center"/>
          </w:tcPr>
          <w:p w:rsidR="00A22EB9" w:rsidRPr="000972F6" w:rsidRDefault="00A22EB9" w:rsidP="00A46D10">
            <w:pPr>
              <w:spacing w:line="360" w:lineRule="auto"/>
              <w:ind w:firstLine="720"/>
              <w:jc w:val="both"/>
              <w:rPr>
                <w:lang w:val="sr-Cyrl-CS"/>
              </w:rPr>
            </w:pPr>
          </w:p>
        </w:tc>
        <w:tc>
          <w:tcPr>
            <w:tcW w:w="4452" w:type="dxa"/>
            <w:tcBorders>
              <w:top w:val="single" w:sz="4" w:space="0" w:color="auto"/>
              <w:left w:val="single" w:sz="4" w:space="0" w:color="auto"/>
              <w:bottom w:val="threeDEmboss" w:sz="6" w:space="0" w:color="auto"/>
              <w:right w:val="single" w:sz="4" w:space="0" w:color="auto"/>
            </w:tcBorders>
            <w:vAlign w:val="center"/>
          </w:tcPr>
          <w:p w:rsidR="00A22EB9" w:rsidRPr="000972F6" w:rsidRDefault="00A22EB9" w:rsidP="00A46D10">
            <w:pPr>
              <w:spacing w:line="360" w:lineRule="auto"/>
              <w:ind w:firstLine="720"/>
              <w:jc w:val="both"/>
              <w:rPr>
                <w:lang w:val="sr-Cyrl-CS"/>
              </w:rPr>
            </w:pPr>
          </w:p>
        </w:tc>
        <w:tc>
          <w:tcPr>
            <w:tcW w:w="1289" w:type="dxa"/>
            <w:tcBorders>
              <w:top w:val="single" w:sz="4" w:space="0" w:color="auto"/>
              <w:left w:val="single" w:sz="4" w:space="0" w:color="auto"/>
              <w:bottom w:val="threeDEmboss" w:sz="6" w:space="0" w:color="auto"/>
              <w:right w:val="single" w:sz="4" w:space="0" w:color="auto"/>
            </w:tcBorders>
          </w:tcPr>
          <w:p w:rsidR="00A22EB9" w:rsidRPr="000972F6" w:rsidRDefault="00A22EB9" w:rsidP="00A46D10">
            <w:pPr>
              <w:spacing w:line="360" w:lineRule="auto"/>
              <w:ind w:firstLine="720"/>
              <w:jc w:val="both"/>
              <w:rPr>
                <w:lang w:val="sr-Cyrl-CS"/>
              </w:rPr>
            </w:pPr>
            <w:r w:rsidRPr="000972F6">
              <w:rPr>
                <w:lang w:val="sr-Cyrl-CS"/>
              </w:rPr>
              <w:t>Неопходно</w:t>
            </w:r>
          </w:p>
        </w:tc>
        <w:tc>
          <w:tcPr>
            <w:tcW w:w="2708" w:type="dxa"/>
            <w:tcBorders>
              <w:top w:val="single" w:sz="4" w:space="0" w:color="auto"/>
              <w:left w:val="single" w:sz="4" w:space="0" w:color="auto"/>
              <w:bottom w:val="threeDEmboss" w:sz="6" w:space="0" w:color="auto"/>
            </w:tcBorders>
            <w:vAlign w:val="center"/>
          </w:tcPr>
          <w:p w:rsidR="00A22EB9" w:rsidRPr="000972F6" w:rsidRDefault="00A22EB9" w:rsidP="00A46D10">
            <w:pPr>
              <w:spacing w:line="360" w:lineRule="auto"/>
              <w:ind w:firstLine="720"/>
              <w:rPr>
                <w:lang w:val="sr-Cyrl-CS"/>
              </w:rPr>
            </w:pPr>
            <w:r w:rsidRPr="000972F6">
              <w:rPr>
                <w:lang w:val="sr-Cyrl-CS"/>
              </w:rPr>
              <w:t>Остварено</w:t>
            </w:r>
          </w:p>
        </w:tc>
      </w:tr>
      <w:tr w:rsidR="00A22EB9" w:rsidRPr="000972F6">
        <w:trPr>
          <w:cantSplit/>
        </w:trPr>
        <w:tc>
          <w:tcPr>
            <w:tcW w:w="1361" w:type="dxa"/>
            <w:vMerge w:val="restart"/>
            <w:tcBorders>
              <w:top w:val="threeDEmboss" w:sz="6" w:space="0" w:color="auto"/>
              <w:left w:val="nil"/>
              <w:bottom w:val="single" w:sz="4" w:space="0" w:color="auto"/>
              <w:right w:val="single" w:sz="4" w:space="0" w:color="auto"/>
            </w:tcBorders>
          </w:tcPr>
          <w:p w:rsidR="00A22EB9" w:rsidRPr="000972F6" w:rsidRDefault="00A22EB9" w:rsidP="00A46D10">
            <w:pPr>
              <w:spacing w:line="360" w:lineRule="auto"/>
              <w:ind w:firstLine="720"/>
              <w:jc w:val="both"/>
              <w:rPr>
                <w:b/>
                <w:bCs/>
                <w:lang w:val="sr-Cyrl-CS"/>
              </w:rPr>
            </w:pPr>
            <w:r w:rsidRPr="000972F6">
              <w:rPr>
                <w:b/>
                <w:bCs/>
                <w:lang w:val="sr-Cyrl-CS"/>
              </w:rPr>
              <w:t>Научни сарадник</w:t>
            </w:r>
          </w:p>
        </w:tc>
        <w:tc>
          <w:tcPr>
            <w:tcW w:w="4452" w:type="dxa"/>
            <w:tcBorders>
              <w:top w:val="threeDEmboss" w:sz="6" w:space="0" w:color="auto"/>
              <w:left w:val="single" w:sz="4" w:space="0" w:color="auto"/>
              <w:bottom w:val="single" w:sz="4" w:space="0" w:color="auto"/>
              <w:right w:val="single" w:sz="4" w:space="0" w:color="auto"/>
            </w:tcBorders>
            <w:vAlign w:val="center"/>
          </w:tcPr>
          <w:p w:rsidR="00A22EB9" w:rsidRPr="000972F6" w:rsidRDefault="00A22EB9" w:rsidP="00A46D10">
            <w:pPr>
              <w:spacing w:line="360" w:lineRule="auto"/>
              <w:ind w:firstLine="720"/>
              <w:jc w:val="both"/>
              <w:rPr>
                <w:b/>
                <w:bCs/>
                <w:lang w:val="sr-Cyrl-CS"/>
              </w:rPr>
            </w:pPr>
            <w:r w:rsidRPr="000972F6">
              <w:rPr>
                <w:b/>
                <w:bCs/>
                <w:lang w:val="sr-Cyrl-CS"/>
              </w:rPr>
              <w:t>Укупно</w:t>
            </w:r>
          </w:p>
        </w:tc>
        <w:tc>
          <w:tcPr>
            <w:tcW w:w="1289" w:type="dxa"/>
            <w:tcBorders>
              <w:top w:val="threeDEmboss" w:sz="6" w:space="0" w:color="auto"/>
              <w:left w:val="single" w:sz="4" w:space="0" w:color="auto"/>
              <w:bottom w:val="single" w:sz="4" w:space="0" w:color="auto"/>
              <w:right w:val="single" w:sz="4" w:space="0" w:color="auto"/>
            </w:tcBorders>
            <w:vAlign w:val="center"/>
          </w:tcPr>
          <w:p w:rsidR="00A22EB9" w:rsidRPr="000972F6" w:rsidRDefault="00A22EB9" w:rsidP="00A46D10">
            <w:pPr>
              <w:spacing w:line="360" w:lineRule="auto"/>
              <w:ind w:firstLine="720"/>
              <w:jc w:val="both"/>
              <w:rPr>
                <w:lang w:val="sr-Cyrl-CS"/>
              </w:rPr>
            </w:pPr>
            <w:r>
              <w:rPr>
                <w:lang w:val="sr-Cyrl-CS"/>
              </w:rPr>
              <w:t>16</w:t>
            </w:r>
          </w:p>
        </w:tc>
        <w:tc>
          <w:tcPr>
            <w:tcW w:w="2708" w:type="dxa"/>
            <w:tcBorders>
              <w:top w:val="threeDEmboss" w:sz="6" w:space="0" w:color="auto"/>
              <w:left w:val="single" w:sz="4" w:space="0" w:color="auto"/>
              <w:bottom w:val="single" w:sz="4" w:space="0" w:color="auto"/>
            </w:tcBorders>
            <w:vAlign w:val="center"/>
          </w:tcPr>
          <w:p w:rsidR="00A22EB9" w:rsidRPr="00F04F2B" w:rsidRDefault="00A22EB9" w:rsidP="00A46D10">
            <w:pPr>
              <w:spacing w:line="360" w:lineRule="auto"/>
              <w:ind w:firstLine="720"/>
              <w:jc w:val="both"/>
              <w:rPr>
                <w:b/>
                <w:bCs/>
              </w:rPr>
            </w:pPr>
            <w:r>
              <w:rPr>
                <w:b/>
                <w:bCs/>
                <w:lang w:val="en-GB"/>
              </w:rPr>
              <w:t>3</w:t>
            </w:r>
            <w:r>
              <w:rPr>
                <w:b/>
                <w:bCs/>
              </w:rPr>
              <w:t>0</w:t>
            </w:r>
          </w:p>
        </w:tc>
      </w:tr>
      <w:tr w:rsidR="00A22EB9" w:rsidRPr="00145229">
        <w:trPr>
          <w:cantSplit/>
        </w:trPr>
        <w:tc>
          <w:tcPr>
            <w:tcW w:w="1361" w:type="dxa"/>
            <w:vMerge/>
            <w:tcBorders>
              <w:top w:val="threeDEmboss" w:sz="6" w:space="0" w:color="auto"/>
              <w:left w:val="nil"/>
              <w:bottom w:val="single" w:sz="4" w:space="0" w:color="auto"/>
              <w:right w:val="single" w:sz="4" w:space="0" w:color="auto"/>
            </w:tcBorders>
            <w:vAlign w:val="center"/>
          </w:tcPr>
          <w:p w:rsidR="00A22EB9" w:rsidRPr="000972F6" w:rsidRDefault="00A22EB9" w:rsidP="00A46D10">
            <w:pPr>
              <w:spacing w:line="360" w:lineRule="auto"/>
              <w:ind w:firstLine="720"/>
              <w:jc w:val="both"/>
              <w:rPr>
                <w:b/>
                <w:bCs/>
                <w:lang w:val="sr-Cyrl-CS"/>
              </w:rPr>
            </w:pPr>
          </w:p>
        </w:tc>
        <w:tc>
          <w:tcPr>
            <w:tcW w:w="4452" w:type="dxa"/>
            <w:tcBorders>
              <w:top w:val="single" w:sz="4" w:space="0" w:color="auto"/>
              <w:left w:val="single" w:sz="4" w:space="0" w:color="auto"/>
              <w:bottom w:val="single" w:sz="4" w:space="0" w:color="auto"/>
              <w:right w:val="single" w:sz="4" w:space="0" w:color="auto"/>
            </w:tcBorders>
            <w:vAlign w:val="center"/>
          </w:tcPr>
          <w:p w:rsidR="00A22EB9" w:rsidRPr="00F04F2B" w:rsidRDefault="00A22EB9" w:rsidP="00A46D10">
            <w:pPr>
              <w:spacing w:line="360" w:lineRule="auto"/>
              <w:ind w:firstLine="720"/>
              <w:jc w:val="both"/>
              <w:rPr>
                <w:lang w:val="sr-Cyrl-CS"/>
              </w:rPr>
            </w:pPr>
            <w:r w:rsidRPr="00145229">
              <w:rPr>
                <w:lang w:val="sr-Cyrl-CS"/>
              </w:rPr>
              <w:t>М10+М20+М31+М32+М33+М41+М42+М43+М44+М45+М51+М52</w:t>
            </w:r>
          </w:p>
        </w:tc>
        <w:tc>
          <w:tcPr>
            <w:tcW w:w="1289" w:type="dxa"/>
            <w:tcBorders>
              <w:top w:val="single" w:sz="4" w:space="0" w:color="auto"/>
              <w:left w:val="single" w:sz="4" w:space="0" w:color="auto"/>
              <w:bottom w:val="single" w:sz="4" w:space="0" w:color="auto"/>
              <w:right w:val="single" w:sz="4" w:space="0" w:color="auto"/>
            </w:tcBorders>
            <w:vAlign w:val="center"/>
          </w:tcPr>
          <w:p w:rsidR="00A22EB9" w:rsidRPr="000972F6" w:rsidRDefault="00A22EB9" w:rsidP="00A46D10">
            <w:pPr>
              <w:spacing w:line="360" w:lineRule="auto"/>
              <w:ind w:firstLine="720"/>
              <w:rPr>
                <w:lang w:val="sr-Cyrl-CS"/>
              </w:rPr>
            </w:pPr>
          </w:p>
          <w:p w:rsidR="00A22EB9" w:rsidRPr="000972F6" w:rsidRDefault="00A22EB9" w:rsidP="00A46D10">
            <w:pPr>
              <w:spacing w:line="360" w:lineRule="auto"/>
              <w:ind w:firstLine="720"/>
              <w:rPr>
                <w:lang w:val="sr-Cyrl-CS"/>
              </w:rPr>
            </w:pPr>
            <w:r w:rsidRPr="000972F6">
              <w:rPr>
                <w:lang w:val="sr-Cyrl-CS"/>
              </w:rPr>
              <w:t>10</w:t>
            </w:r>
          </w:p>
        </w:tc>
        <w:tc>
          <w:tcPr>
            <w:tcW w:w="2708" w:type="dxa"/>
            <w:tcBorders>
              <w:top w:val="single" w:sz="4" w:space="0" w:color="auto"/>
              <w:left w:val="single" w:sz="4" w:space="0" w:color="auto"/>
              <w:bottom w:val="single" w:sz="4" w:space="0" w:color="auto"/>
            </w:tcBorders>
          </w:tcPr>
          <w:p w:rsidR="00A22EB9" w:rsidRDefault="00A22EB9" w:rsidP="00A46D10">
            <w:pPr>
              <w:spacing w:line="360" w:lineRule="auto"/>
              <w:ind w:firstLine="720"/>
              <w:rPr>
                <w:lang w:val="sr-Cyrl-CS"/>
              </w:rPr>
            </w:pPr>
            <w:r>
              <w:rPr>
                <w:b/>
                <w:bCs/>
              </w:rPr>
              <w:t>20</w:t>
            </w:r>
            <w:r>
              <w:rPr>
                <w:lang w:val="sr-Cyrl-CS"/>
              </w:rPr>
              <w:t xml:space="preserve"> </w:t>
            </w:r>
          </w:p>
          <w:p w:rsidR="00A22EB9" w:rsidRPr="000972F6" w:rsidRDefault="00A22EB9" w:rsidP="00F04F2B">
            <w:pPr>
              <w:spacing w:line="360" w:lineRule="auto"/>
              <w:rPr>
                <w:b/>
                <w:bCs/>
                <w:lang w:val="sr-Cyrl-CS"/>
              </w:rPr>
            </w:pPr>
            <w:r>
              <w:rPr>
                <w:lang w:val="sr-Cyrl-CS"/>
              </w:rPr>
              <w:t>М1</w:t>
            </w:r>
            <w:r>
              <w:t>3</w:t>
            </w:r>
            <w:r>
              <w:rPr>
                <w:lang w:val="sr-Cyrl-CS"/>
              </w:rPr>
              <w:t>(</w:t>
            </w:r>
            <w:r>
              <w:t>7</w:t>
            </w:r>
            <w:r>
              <w:rPr>
                <w:lang w:val="sr-Cyrl-CS"/>
              </w:rPr>
              <w:t>) + М16 (</w:t>
            </w:r>
            <w:r>
              <w:t>2</w:t>
            </w:r>
            <w:r>
              <w:rPr>
                <w:lang w:val="sr-Cyrl-CS"/>
              </w:rPr>
              <w:t>+2+2) + М2</w:t>
            </w:r>
            <w:r>
              <w:t>3</w:t>
            </w:r>
            <w:r>
              <w:rPr>
                <w:lang w:val="sr-Cyrl-CS"/>
              </w:rPr>
              <w:t>(4) + М32(1</w:t>
            </w:r>
            <w:r>
              <w:t>,5</w:t>
            </w:r>
            <w:r>
              <w:rPr>
                <w:lang w:val="sr-Cyrl-CS"/>
              </w:rPr>
              <w:t>) + М45(1,5)</w:t>
            </w:r>
          </w:p>
        </w:tc>
      </w:tr>
      <w:tr w:rsidR="00A22EB9" w:rsidRPr="00145229">
        <w:trPr>
          <w:cantSplit/>
        </w:trPr>
        <w:tc>
          <w:tcPr>
            <w:tcW w:w="1361" w:type="dxa"/>
            <w:vMerge/>
            <w:tcBorders>
              <w:top w:val="threeDEmboss" w:sz="6" w:space="0" w:color="auto"/>
              <w:left w:val="nil"/>
              <w:bottom w:val="single" w:sz="4" w:space="0" w:color="auto"/>
              <w:right w:val="single" w:sz="4" w:space="0" w:color="auto"/>
            </w:tcBorders>
            <w:vAlign w:val="center"/>
          </w:tcPr>
          <w:p w:rsidR="00A22EB9" w:rsidRPr="000972F6" w:rsidRDefault="00A22EB9" w:rsidP="00A46D10">
            <w:pPr>
              <w:spacing w:line="360" w:lineRule="auto"/>
              <w:ind w:firstLine="720"/>
              <w:jc w:val="both"/>
              <w:rPr>
                <w:b/>
                <w:bCs/>
                <w:lang w:val="sr-Cyrl-CS"/>
              </w:rPr>
            </w:pPr>
          </w:p>
        </w:tc>
        <w:tc>
          <w:tcPr>
            <w:tcW w:w="4452" w:type="dxa"/>
            <w:tcBorders>
              <w:top w:val="single" w:sz="4" w:space="0" w:color="auto"/>
              <w:left w:val="single" w:sz="4" w:space="0" w:color="auto"/>
              <w:bottom w:val="single" w:sz="4" w:space="0" w:color="auto"/>
              <w:right w:val="single" w:sz="4" w:space="0" w:color="auto"/>
            </w:tcBorders>
            <w:vAlign w:val="center"/>
          </w:tcPr>
          <w:p w:rsidR="00A22EB9" w:rsidRPr="000972F6" w:rsidRDefault="00A22EB9" w:rsidP="00A46D10">
            <w:pPr>
              <w:spacing w:line="360" w:lineRule="auto"/>
              <w:ind w:firstLine="720"/>
              <w:jc w:val="both"/>
              <w:rPr>
                <w:lang w:val="sr-Cyrl-CS"/>
              </w:rPr>
            </w:pPr>
          </w:p>
          <w:p w:rsidR="00A22EB9" w:rsidRPr="00D8306B" w:rsidRDefault="00A22EB9" w:rsidP="00A46D10">
            <w:pPr>
              <w:pStyle w:val="Default"/>
              <w:rPr>
                <w:rFonts w:ascii="Times New Roman" w:hAnsi="Times New Roman" w:cs="Times New Roman"/>
                <w:sz w:val="22"/>
                <w:szCs w:val="22"/>
                <w:lang w:val="sr-Cyrl-CS"/>
              </w:rPr>
            </w:pPr>
            <w:r w:rsidRPr="00D8306B">
              <w:rPr>
                <w:rFonts w:ascii="Times New Roman" w:hAnsi="Times New Roman" w:cs="Times New Roman"/>
                <w:sz w:val="22"/>
                <w:szCs w:val="22"/>
              </w:rPr>
              <w:t>M</w:t>
            </w:r>
            <w:r w:rsidRPr="00D8306B">
              <w:rPr>
                <w:rFonts w:ascii="Times New Roman" w:hAnsi="Times New Roman" w:cs="Times New Roman"/>
                <w:sz w:val="22"/>
                <w:szCs w:val="22"/>
                <w:lang w:val="sr-Cyrl-CS"/>
              </w:rPr>
              <w:t>11+</w:t>
            </w:r>
            <w:r w:rsidRPr="00D8306B">
              <w:rPr>
                <w:rFonts w:ascii="Times New Roman" w:hAnsi="Times New Roman" w:cs="Times New Roman"/>
                <w:sz w:val="22"/>
                <w:szCs w:val="22"/>
              </w:rPr>
              <w:t>M</w:t>
            </w:r>
            <w:r w:rsidRPr="00D8306B">
              <w:rPr>
                <w:rFonts w:ascii="Times New Roman" w:hAnsi="Times New Roman" w:cs="Times New Roman"/>
                <w:sz w:val="22"/>
                <w:szCs w:val="22"/>
                <w:lang w:val="sr-Cyrl-CS"/>
              </w:rPr>
              <w:t>12+</w:t>
            </w:r>
            <w:r w:rsidRPr="00D8306B">
              <w:rPr>
                <w:rFonts w:ascii="Times New Roman" w:hAnsi="Times New Roman" w:cs="Times New Roman"/>
                <w:sz w:val="22"/>
                <w:szCs w:val="22"/>
              </w:rPr>
              <w:t>M</w:t>
            </w:r>
            <w:r w:rsidRPr="00D8306B">
              <w:rPr>
                <w:rFonts w:ascii="Times New Roman" w:hAnsi="Times New Roman" w:cs="Times New Roman"/>
                <w:sz w:val="22"/>
                <w:szCs w:val="22"/>
                <w:lang w:val="sr-Cyrl-CS"/>
              </w:rPr>
              <w:t>13+</w:t>
            </w:r>
            <w:r w:rsidRPr="00D8306B">
              <w:rPr>
                <w:rFonts w:ascii="Times New Roman" w:hAnsi="Times New Roman" w:cs="Times New Roman"/>
                <w:sz w:val="22"/>
                <w:szCs w:val="22"/>
              </w:rPr>
              <w:t>M</w:t>
            </w:r>
            <w:r w:rsidRPr="00D8306B">
              <w:rPr>
                <w:rFonts w:ascii="Times New Roman" w:hAnsi="Times New Roman" w:cs="Times New Roman"/>
                <w:sz w:val="22"/>
                <w:szCs w:val="22"/>
                <w:lang w:val="sr-Cyrl-CS"/>
              </w:rPr>
              <w:t>14+</w:t>
            </w:r>
            <w:r w:rsidRPr="00D8306B">
              <w:rPr>
                <w:rFonts w:ascii="Times New Roman" w:hAnsi="Times New Roman" w:cs="Times New Roman"/>
                <w:sz w:val="22"/>
                <w:szCs w:val="22"/>
              </w:rPr>
              <w:t>M</w:t>
            </w:r>
            <w:r w:rsidRPr="00D8306B">
              <w:rPr>
                <w:rFonts w:ascii="Times New Roman" w:hAnsi="Times New Roman" w:cs="Times New Roman"/>
                <w:sz w:val="22"/>
                <w:szCs w:val="22"/>
                <w:lang w:val="sr-Cyrl-CS"/>
              </w:rPr>
              <w:t>21+</w:t>
            </w:r>
            <w:r w:rsidRPr="00D8306B">
              <w:rPr>
                <w:rFonts w:ascii="Times New Roman" w:hAnsi="Times New Roman" w:cs="Times New Roman"/>
                <w:sz w:val="22"/>
                <w:szCs w:val="22"/>
              </w:rPr>
              <w:t>M</w:t>
            </w:r>
            <w:r w:rsidRPr="00D8306B">
              <w:rPr>
                <w:rFonts w:ascii="Times New Roman" w:hAnsi="Times New Roman" w:cs="Times New Roman"/>
                <w:sz w:val="22"/>
                <w:szCs w:val="22"/>
                <w:lang w:val="sr-Cyrl-CS"/>
              </w:rPr>
              <w:t>22+</w:t>
            </w:r>
            <w:r w:rsidRPr="00D8306B">
              <w:rPr>
                <w:rFonts w:ascii="Times New Roman" w:hAnsi="Times New Roman" w:cs="Times New Roman"/>
                <w:sz w:val="22"/>
                <w:szCs w:val="22"/>
              </w:rPr>
              <w:t>M</w:t>
            </w:r>
            <w:r w:rsidRPr="00D8306B">
              <w:rPr>
                <w:rFonts w:ascii="Times New Roman" w:hAnsi="Times New Roman" w:cs="Times New Roman"/>
                <w:sz w:val="22"/>
                <w:szCs w:val="22"/>
                <w:lang w:val="sr-Cyrl-CS"/>
              </w:rPr>
              <w:t>23+</w:t>
            </w:r>
            <w:r w:rsidRPr="00D8306B">
              <w:rPr>
                <w:rFonts w:ascii="Times New Roman" w:hAnsi="Times New Roman" w:cs="Times New Roman"/>
                <w:sz w:val="22"/>
                <w:szCs w:val="22"/>
              </w:rPr>
              <w:t>M</w:t>
            </w:r>
            <w:r w:rsidRPr="00D8306B">
              <w:rPr>
                <w:rFonts w:ascii="Times New Roman" w:hAnsi="Times New Roman" w:cs="Times New Roman"/>
                <w:sz w:val="22"/>
                <w:szCs w:val="22"/>
                <w:lang w:val="sr-Cyrl-CS"/>
              </w:rPr>
              <w:t>24+</w:t>
            </w:r>
            <w:r w:rsidRPr="00D8306B">
              <w:rPr>
                <w:rFonts w:ascii="Times New Roman" w:hAnsi="Times New Roman" w:cs="Times New Roman"/>
                <w:sz w:val="22"/>
                <w:szCs w:val="22"/>
              </w:rPr>
              <w:t>M</w:t>
            </w:r>
            <w:r w:rsidRPr="00D8306B">
              <w:rPr>
                <w:rFonts w:ascii="Times New Roman" w:hAnsi="Times New Roman" w:cs="Times New Roman"/>
                <w:sz w:val="22"/>
                <w:szCs w:val="22"/>
                <w:lang w:val="sr-Cyrl-CS"/>
              </w:rPr>
              <w:t>31+</w:t>
            </w:r>
            <w:r w:rsidRPr="00D8306B">
              <w:rPr>
                <w:rFonts w:ascii="Times New Roman" w:hAnsi="Times New Roman" w:cs="Times New Roman"/>
                <w:sz w:val="22"/>
                <w:szCs w:val="22"/>
              </w:rPr>
              <w:t>M</w:t>
            </w:r>
            <w:r w:rsidRPr="00D8306B">
              <w:rPr>
                <w:rFonts w:ascii="Times New Roman" w:hAnsi="Times New Roman" w:cs="Times New Roman"/>
                <w:sz w:val="22"/>
                <w:szCs w:val="22"/>
                <w:lang w:val="sr-Cyrl-CS"/>
              </w:rPr>
              <w:t>41+</w:t>
            </w:r>
            <w:r w:rsidRPr="00D8306B">
              <w:rPr>
                <w:rFonts w:ascii="Times New Roman" w:hAnsi="Times New Roman" w:cs="Times New Roman"/>
                <w:sz w:val="22"/>
                <w:szCs w:val="22"/>
              </w:rPr>
              <w:t>M</w:t>
            </w:r>
            <w:r w:rsidRPr="00D8306B">
              <w:rPr>
                <w:rFonts w:ascii="Times New Roman" w:hAnsi="Times New Roman" w:cs="Times New Roman"/>
                <w:sz w:val="22"/>
                <w:szCs w:val="22"/>
                <w:lang w:val="sr-Cyrl-CS"/>
              </w:rPr>
              <w:t>42+</w:t>
            </w:r>
            <w:r w:rsidRPr="00D8306B">
              <w:rPr>
                <w:rFonts w:ascii="Times New Roman" w:hAnsi="Times New Roman" w:cs="Times New Roman"/>
                <w:sz w:val="22"/>
                <w:szCs w:val="22"/>
              </w:rPr>
              <w:t>M</w:t>
            </w:r>
            <w:r w:rsidRPr="00D8306B">
              <w:rPr>
                <w:rFonts w:ascii="Times New Roman" w:hAnsi="Times New Roman" w:cs="Times New Roman"/>
                <w:sz w:val="22"/>
                <w:szCs w:val="22"/>
                <w:lang w:val="sr-Cyrl-CS"/>
              </w:rPr>
              <w:t xml:space="preserve">51 </w:t>
            </w:r>
          </w:p>
          <w:p w:rsidR="00A22EB9" w:rsidRPr="00D8306B" w:rsidRDefault="00A22EB9" w:rsidP="00A46D10">
            <w:pPr>
              <w:spacing w:line="360" w:lineRule="auto"/>
              <w:ind w:firstLine="720"/>
              <w:jc w:val="both"/>
              <w:rPr>
                <w:lang w:val="sr-Cyrl-CS"/>
              </w:rPr>
            </w:pPr>
          </w:p>
        </w:tc>
        <w:tc>
          <w:tcPr>
            <w:tcW w:w="1289" w:type="dxa"/>
            <w:tcBorders>
              <w:top w:val="single" w:sz="4" w:space="0" w:color="auto"/>
              <w:left w:val="single" w:sz="4" w:space="0" w:color="auto"/>
              <w:bottom w:val="single" w:sz="4" w:space="0" w:color="auto"/>
              <w:right w:val="single" w:sz="4" w:space="0" w:color="auto"/>
            </w:tcBorders>
            <w:vAlign w:val="center"/>
          </w:tcPr>
          <w:p w:rsidR="00A22EB9" w:rsidRPr="000972F6" w:rsidRDefault="00A22EB9" w:rsidP="00A46D10">
            <w:pPr>
              <w:spacing w:line="360" w:lineRule="auto"/>
              <w:ind w:firstLine="720"/>
              <w:jc w:val="both"/>
              <w:rPr>
                <w:lang w:val="sr-Cyrl-CS"/>
              </w:rPr>
            </w:pPr>
          </w:p>
          <w:p w:rsidR="00A22EB9" w:rsidRPr="000972F6" w:rsidRDefault="00A22EB9" w:rsidP="00A46D10">
            <w:pPr>
              <w:spacing w:line="360" w:lineRule="auto"/>
              <w:ind w:firstLine="720"/>
              <w:jc w:val="both"/>
              <w:rPr>
                <w:lang w:val="sr-Cyrl-CS"/>
              </w:rPr>
            </w:pPr>
            <w:r w:rsidRPr="000972F6">
              <w:rPr>
                <w:lang w:val="sr-Cyrl-CS"/>
              </w:rPr>
              <w:t>7</w:t>
            </w:r>
          </w:p>
        </w:tc>
        <w:tc>
          <w:tcPr>
            <w:tcW w:w="2708" w:type="dxa"/>
            <w:tcBorders>
              <w:top w:val="single" w:sz="4" w:space="0" w:color="auto"/>
              <w:left w:val="single" w:sz="4" w:space="0" w:color="auto"/>
              <w:bottom w:val="single" w:sz="4" w:space="0" w:color="auto"/>
            </w:tcBorders>
            <w:vAlign w:val="center"/>
          </w:tcPr>
          <w:p w:rsidR="00A22EB9" w:rsidRPr="00C834C2" w:rsidRDefault="00A22EB9" w:rsidP="00A46D10">
            <w:pPr>
              <w:spacing w:line="360" w:lineRule="auto"/>
              <w:ind w:firstLine="720"/>
              <w:jc w:val="both"/>
              <w:rPr>
                <w:b/>
                <w:bCs/>
              </w:rPr>
            </w:pPr>
            <w:r>
              <w:rPr>
                <w:b/>
                <w:bCs/>
              </w:rPr>
              <w:t>11</w:t>
            </w:r>
          </w:p>
          <w:p w:rsidR="00A22EB9" w:rsidRPr="000972F6" w:rsidRDefault="00A22EB9" w:rsidP="00F04F2B">
            <w:pPr>
              <w:spacing w:line="360" w:lineRule="auto"/>
              <w:jc w:val="both"/>
              <w:rPr>
                <w:b/>
                <w:bCs/>
                <w:lang w:val="sr-Cyrl-CS"/>
              </w:rPr>
            </w:pPr>
            <w:r>
              <w:rPr>
                <w:lang w:val="sr-Cyrl-CS"/>
              </w:rPr>
              <w:t>М1</w:t>
            </w:r>
            <w:r>
              <w:t>3</w:t>
            </w:r>
            <w:r>
              <w:rPr>
                <w:lang w:val="sr-Cyrl-CS"/>
              </w:rPr>
              <w:t>(</w:t>
            </w:r>
            <w:r>
              <w:t>7</w:t>
            </w:r>
            <w:r>
              <w:rPr>
                <w:lang w:val="sr-Cyrl-CS"/>
              </w:rPr>
              <w:t>) + М2</w:t>
            </w:r>
            <w:r>
              <w:t>3</w:t>
            </w:r>
            <w:r>
              <w:rPr>
                <w:lang w:val="sr-Cyrl-CS"/>
              </w:rPr>
              <w:t>(4)</w:t>
            </w:r>
          </w:p>
        </w:tc>
      </w:tr>
      <w:tr w:rsidR="00A22EB9" w:rsidRPr="00145229">
        <w:trPr>
          <w:cantSplit/>
          <w:trHeight w:val="293"/>
        </w:trPr>
        <w:tc>
          <w:tcPr>
            <w:tcW w:w="1361" w:type="dxa"/>
            <w:vMerge/>
            <w:tcBorders>
              <w:top w:val="threeDEmboss" w:sz="6" w:space="0" w:color="auto"/>
              <w:left w:val="nil"/>
              <w:bottom w:val="single" w:sz="4" w:space="0" w:color="auto"/>
              <w:right w:val="single" w:sz="4" w:space="0" w:color="auto"/>
            </w:tcBorders>
            <w:vAlign w:val="center"/>
          </w:tcPr>
          <w:p w:rsidR="00A22EB9" w:rsidRPr="000972F6" w:rsidRDefault="00A22EB9" w:rsidP="00A46D10">
            <w:pPr>
              <w:spacing w:line="360" w:lineRule="auto"/>
              <w:ind w:firstLine="720"/>
              <w:jc w:val="both"/>
              <w:rPr>
                <w:b/>
                <w:bCs/>
                <w:lang w:val="sr-Cyrl-CS"/>
              </w:rPr>
            </w:pPr>
          </w:p>
        </w:tc>
        <w:tc>
          <w:tcPr>
            <w:tcW w:w="4452" w:type="dxa"/>
            <w:tcBorders>
              <w:top w:val="single" w:sz="4" w:space="0" w:color="auto"/>
              <w:left w:val="single" w:sz="4" w:space="0" w:color="auto"/>
              <w:bottom w:val="threeDEmboss" w:sz="6" w:space="0" w:color="auto"/>
              <w:right w:val="single" w:sz="4" w:space="0" w:color="auto"/>
            </w:tcBorders>
            <w:vAlign w:val="center"/>
          </w:tcPr>
          <w:p w:rsidR="00A22EB9" w:rsidRPr="00963400" w:rsidRDefault="00A22EB9" w:rsidP="00A46D10">
            <w:pPr>
              <w:spacing w:line="360" w:lineRule="auto"/>
              <w:ind w:firstLine="720"/>
              <w:jc w:val="both"/>
              <w:rPr>
                <w:lang w:val="en-GB"/>
              </w:rPr>
            </w:pPr>
          </w:p>
        </w:tc>
        <w:tc>
          <w:tcPr>
            <w:tcW w:w="1289" w:type="dxa"/>
            <w:tcBorders>
              <w:top w:val="single" w:sz="4" w:space="0" w:color="auto"/>
              <w:left w:val="single" w:sz="4" w:space="0" w:color="auto"/>
              <w:bottom w:val="threeDEmboss" w:sz="6" w:space="0" w:color="auto"/>
              <w:right w:val="single" w:sz="4" w:space="0" w:color="auto"/>
            </w:tcBorders>
            <w:vAlign w:val="center"/>
          </w:tcPr>
          <w:p w:rsidR="00A22EB9" w:rsidRPr="00434D9F" w:rsidRDefault="00A22EB9" w:rsidP="00A46D10">
            <w:pPr>
              <w:spacing w:line="360" w:lineRule="auto"/>
              <w:ind w:firstLine="720"/>
              <w:jc w:val="both"/>
              <w:rPr>
                <w:lang w:val="en-GB"/>
              </w:rPr>
            </w:pPr>
          </w:p>
        </w:tc>
        <w:tc>
          <w:tcPr>
            <w:tcW w:w="2708" w:type="dxa"/>
            <w:tcBorders>
              <w:top w:val="single" w:sz="4" w:space="0" w:color="auto"/>
              <w:left w:val="single" w:sz="4" w:space="0" w:color="auto"/>
              <w:bottom w:val="threeDEmboss" w:sz="6" w:space="0" w:color="auto"/>
            </w:tcBorders>
            <w:vAlign w:val="center"/>
          </w:tcPr>
          <w:p w:rsidR="00A22EB9" w:rsidRPr="00434D9F" w:rsidRDefault="00A22EB9" w:rsidP="00A46D10">
            <w:pPr>
              <w:spacing w:line="360" w:lineRule="auto"/>
              <w:ind w:firstLine="720"/>
              <w:jc w:val="both"/>
              <w:rPr>
                <w:b/>
                <w:bCs/>
                <w:lang w:val="en-GB"/>
              </w:rPr>
            </w:pPr>
          </w:p>
        </w:tc>
      </w:tr>
    </w:tbl>
    <w:p w:rsidR="00A22EB9" w:rsidRDefault="00A22EB9" w:rsidP="00E71B85">
      <w:pPr>
        <w:jc w:val="both"/>
      </w:pPr>
    </w:p>
    <w:p w:rsidR="00A22EB9" w:rsidRPr="00595DD7" w:rsidRDefault="00A22EB9" w:rsidP="00E82100">
      <w:pPr>
        <w:spacing w:before="360"/>
        <w:jc w:val="center"/>
        <w:rPr>
          <w:b/>
          <w:bCs/>
          <w:sz w:val="28"/>
          <w:szCs w:val="28"/>
        </w:rPr>
      </w:pPr>
      <w:r w:rsidRPr="00595DD7">
        <w:rPr>
          <w:b/>
          <w:bCs/>
          <w:sz w:val="28"/>
          <w:szCs w:val="28"/>
        </w:rPr>
        <w:t>9. Приказ кандидатове делатности у развоју услова за научни рад, образовању и формирању научних кадрова</w:t>
      </w:r>
    </w:p>
    <w:p w:rsidR="00A22EB9" w:rsidRDefault="00A22EB9" w:rsidP="00E71B85">
      <w:pPr>
        <w:jc w:val="both"/>
      </w:pPr>
    </w:p>
    <w:p w:rsidR="00A22EB9" w:rsidRDefault="00A22EB9" w:rsidP="00595DD7">
      <w:pPr>
        <w:ind w:firstLine="720"/>
        <w:jc w:val="both"/>
      </w:pPr>
      <w:r>
        <w:t>Колега Небојша Станковић учествовао је у организовању научних скупова, а исказао се и у образовању научних кадрова, односно припреми и одржавању наставе на високошколским установама у земљи и иностранству.</w:t>
      </w:r>
    </w:p>
    <w:p w:rsidR="00A22EB9" w:rsidRDefault="00A22EB9" w:rsidP="00E71B85">
      <w:pPr>
        <w:jc w:val="both"/>
      </w:pPr>
    </w:p>
    <w:p w:rsidR="00A22EB9" w:rsidRPr="00A65A45" w:rsidRDefault="00A22EB9" w:rsidP="00A65A45">
      <w:pPr>
        <w:spacing w:after="120"/>
        <w:jc w:val="both"/>
        <w:rPr>
          <w:b/>
          <w:bCs/>
        </w:rPr>
      </w:pPr>
      <w:r w:rsidRPr="00A65A45">
        <w:rPr>
          <w:b/>
          <w:bCs/>
        </w:rPr>
        <w:t>Педагошки рад:</w:t>
      </w:r>
    </w:p>
    <w:p w:rsidR="00A22EB9" w:rsidRDefault="00A22EB9" w:rsidP="00A65A45">
      <w:pPr>
        <w:pStyle w:val="NormalWeb"/>
        <w:spacing w:before="0" w:beforeAutospacing="0" w:after="0" w:afterAutospacing="0"/>
        <w:ind w:left="1440" w:hanging="1440"/>
        <w:jc w:val="both"/>
      </w:pPr>
      <w:r w:rsidRPr="00A65A45">
        <w:t xml:space="preserve">2010 (јесен) </w:t>
      </w:r>
      <w:r w:rsidRPr="00A65A45">
        <w:tab/>
        <w:t>Princeton University, Department of Art and Archaeology</w:t>
      </w:r>
      <w:r w:rsidRPr="00A65A45">
        <w:rPr>
          <w:b/>
          <w:bCs/>
        </w:rPr>
        <w:t xml:space="preserve"> </w:t>
      </w:r>
      <w:r w:rsidRPr="00A65A45">
        <w:t xml:space="preserve">– </w:t>
      </w:r>
      <w:r>
        <w:t>асистент у настави (предавач-демонстратор) на предмету „Рим, вечни град“ (</w:t>
      </w:r>
      <w:r w:rsidRPr="00E41E80">
        <w:t>ART</w:t>
      </w:r>
      <w:r w:rsidRPr="00A65A45">
        <w:t xml:space="preserve"> 320</w:t>
      </w:r>
      <w:r>
        <w:t>:</w:t>
      </w:r>
      <w:r w:rsidRPr="00A65A45">
        <w:t xml:space="preserve"> </w:t>
      </w:r>
      <w:r w:rsidRPr="00E41E80">
        <w:rPr>
          <w:i/>
          <w:iCs/>
        </w:rPr>
        <w:t>Rome</w:t>
      </w:r>
      <w:r w:rsidRPr="00A65A45">
        <w:rPr>
          <w:i/>
          <w:iCs/>
        </w:rPr>
        <w:t xml:space="preserve">, </w:t>
      </w:r>
      <w:r w:rsidRPr="00E41E80">
        <w:rPr>
          <w:i/>
          <w:iCs/>
        </w:rPr>
        <w:t>the</w:t>
      </w:r>
      <w:r w:rsidRPr="00A65A45">
        <w:rPr>
          <w:i/>
          <w:iCs/>
        </w:rPr>
        <w:t xml:space="preserve"> </w:t>
      </w:r>
      <w:r w:rsidRPr="00E41E80">
        <w:rPr>
          <w:i/>
          <w:iCs/>
        </w:rPr>
        <w:t>Eternal</w:t>
      </w:r>
      <w:r w:rsidRPr="00A65A45">
        <w:rPr>
          <w:i/>
          <w:iCs/>
        </w:rPr>
        <w:t xml:space="preserve"> </w:t>
      </w:r>
      <w:r w:rsidRPr="00E41E80">
        <w:rPr>
          <w:i/>
          <w:iCs/>
        </w:rPr>
        <w:t>City</w:t>
      </w:r>
      <w:r>
        <w:t xml:space="preserve">, </w:t>
      </w:r>
      <w:r w:rsidRPr="00E41E80">
        <w:t>Prof</w:t>
      </w:r>
      <w:r w:rsidRPr="00A65A45">
        <w:t xml:space="preserve">. </w:t>
      </w:r>
      <w:r w:rsidRPr="00E41E80">
        <w:t>John</w:t>
      </w:r>
      <w:r w:rsidRPr="00A65A45">
        <w:t xml:space="preserve"> </w:t>
      </w:r>
      <w:r w:rsidRPr="00E41E80">
        <w:t>A</w:t>
      </w:r>
      <w:r w:rsidRPr="00A65A45">
        <w:t xml:space="preserve">. </w:t>
      </w:r>
      <w:r w:rsidRPr="00E41E80">
        <w:t>Pinto</w:t>
      </w:r>
      <w:r>
        <w:t>)</w:t>
      </w:r>
    </w:p>
    <w:p w:rsidR="00A22EB9" w:rsidRDefault="00A22EB9" w:rsidP="00A65A45">
      <w:pPr>
        <w:pStyle w:val="NormalWeb"/>
        <w:spacing w:before="0" w:beforeAutospacing="0" w:after="0" w:afterAutospacing="0"/>
        <w:ind w:left="1440" w:hanging="1440"/>
        <w:jc w:val="both"/>
      </w:pPr>
      <w:r w:rsidRPr="00A65A45">
        <w:t xml:space="preserve">2009 (прол.) </w:t>
      </w:r>
      <w:r w:rsidRPr="00A65A45">
        <w:tab/>
        <w:t xml:space="preserve">Princeton University, Department of Art and Archaeology – </w:t>
      </w:r>
      <w:r>
        <w:t>асистент у настави (предавач-демонстратор) на предмету „Увод у историју уметности: Од ренесансе до савремене уметности“</w:t>
      </w:r>
      <w:r w:rsidRPr="00E02E88">
        <w:t xml:space="preserve"> </w:t>
      </w:r>
      <w:r>
        <w:t>(</w:t>
      </w:r>
      <w:r w:rsidRPr="00EC755A">
        <w:t>ART</w:t>
      </w:r>
      <w:r w:rsidRPr="00E02E88">
        <w:t xml:space="preserve"> 101</w:t>
      </w:r>
      <w:r>
        <w:t>:</w:t>
      </w:r>
      <w:r w:rsidRPr="00E02E88">
        <w:t xml:space="preserve"> </w:t>
      </w:r>
      <w:r w:rsidRPr="00EC755A">
        <w:rPr>
          <w:i/>
          <w:iCs/>
        </w:rPr>
        <w:t>Introduction</w:t>
      </w:r>
      <w:r w:rsidRPr="00E02E88">
        <w:rPr>
          <w:i/>
          <w:iCs/>
        </w:rPr>
        <w:t xml:space="preserve"> </w:t>
      </w:r>
      <w:r w:rsidRPr="00EC755A">
        <w:rPr>
          <w:i/>
          <w:iCs/>
        </w:rPr>
        <w:t>to</w:t>
      </w:r>
      <w:r w:rsidRPr="00E02E88">
        <w:rPr>
          <w:i/>
          <w:iCs/>
        </w:rPr>
        <w:t xml:space="preserve"> </w:t>
      </w:r>
      <w:r w:rsidRPr="00EC755A">
        <w:rPr>
          <w:i/>
          <w:iCs/>
        </w:rPr>
        <w:t>the</w:t>
      </w:r>
      <w:r w:rsidRPr="00E02E88">
        <w:rPr>
          <w:i/>
          <w:iCs/>
        </w:rPr>
        <w:t xml:space="preserve"> </w:t>
      </w:r>
      <w:r w:rsidRPr="00EC755A">
        <w:rPr>
          <w:i/>
          <w:iCs/>
        </w:rPr>
        <w:t>History</w:t>
      </w:r>
      <w:r w:rsidRPr="00E02E88">
        <w:rPr>
          <w:i/>
          <w:iCs/>
        </w:rPr>
        <w:t xml:space="preserve"> </w:t>
      </w:r>
      <w:r w:rsidRPr="00EC755A">
        <w:rPr>
          <w:i/>
          <w:iCs/>
        </w:rPr>
        <w:t>of</w:t>
      </w:r>
      <w:r w:rsidRPr="00E02E88">
        <w:rPr>
          <w:i/>
          <w:iCs/>
        </w:rPr>
        <w:t xml:space="preserve"> </w:t>
      </w:r>
      <w:r w:rsidRPr="00EC755A">
        <w:rPr>
          <w:i/>
          <w:iCs/>
        </w:rPr>
        <w:t>Art</w:t>
      </w:r>
      <w:r w:rsidRPr="00E02E88">
        <w:rPr>
          <w:i/>
          <w:iCs/>
        </w:rPr>
        <w:t xml:space="preserve">: </w:t>
      </w:r>
      <w:r w:rsidRPr="00EC755A">
        <w:rPr>
          <w:i/>
          <w:iCs/>
        </w:rPr>
        <w:t>Renaissance</w:t>
      </w:r>
      <w:r w:rsidRPr="00E02E88">
        <w:rPr>
          <w:i/>
          <w:iCs/>
        </w:rPr>
        <w:t xml:space="preserve"> </w:t>
      </w:r>
      <w:r w:rsidRPr="00EC755A">
        <w:rPr>
          <w:i/>
          <w:iCs/>
        </w:rPr>
        <w:t>to</w:t>
      </w:r>
      <w:r w:rsidRPr="00E02E88">
        <w:rPr>
          <w:i/>
          <w:iCs/>
        </w:rPr>
        <w:t xml:space="preserve"> </w:t>
      </w:r>
      <w:r w:rsidRPr="00EC755A">
        <w:rPr>
          <w:i/>
          <w:iCs/>
        </w:rPr>
        <w:t>Contemporary</w:t>
      </w:r>
      <w:r>
        <w:t xml:space="preserve">, </w:t>
      </w:r>
      <w:r w:rsidRPr="00EC755A">
        <w:t>Prof</w:t>
      </w:r>
      <w:r w:rsidRPr="00E02E88">
        <w:t xml:space="preserve">. </w:t>
      </w:r>
      <w:r w:rsidRPr="00EC755A">
        <w:t>Christopher</w:t>
      </w:r>
      <w:r w:rsidRPr="00E02E88">
        <w:t xml:space="preserve"> </w:t>
      </w:r>
      <w:r w:rsidRPr="00EC755A">
        <w:t>Petty</w:t>
      </w:r>
      <w:r w:rsidRPr="00E02E88">
        <w:t xml:space="preserve"> </w:t>
      </w:r>
      <w:r w:rsidRPr="00EC755A">
        <w:t>Heuer</w:t>
      </w:r>
      <w:r w:rsidRPr="00E02E88">
        <w:t>)</w:t>
      </w:r>
    </w:p>
    <w:p w:rsidR="00A22EB9" w:rsidRPr="00A65A45" w:rsidRDefault="00A22EB9" w:rsidP="00A65A45">
      <w:pPr>
        <w:pStyle w:val="NormalWeb"/>
        <w:spacing w:before="0" w:beforeAutospacing="0" w:after="0" w:afterAutospacing="0"/>
        <w:ind w:left="1440" w:hanging="1440"/>
        <w:jc w:val="both"/>
      </w:pPr>
      <w:r w:rsidRPr="00A65A45">
        <w:t xml:space="preserve">2002-2004 </w:t>
      </w:r>
      <w:r w:rsidRPr="00A65A45">
        <w:tab/>
        <w:t xml:space="preserve">Универзитет у Нишу, Грађевинско-архитектонски факултет – хонорарни сарадник у настави </w:t>
      </w:r>
      <w:r>
        <w:t>на предметима „Пројектовање стамбених зграда“ (проф. др Душан Илић) и „Пројектовање јавних зграда“ (проф. др Мирјана Анђелковић)</w:t>
      </w:r>
    </w:p>
    <w:p w:rsidR="00A22EB9" w:rsidRDefault="00A22EB9" w:rsidP="00E71B85">
      <w:pPr>
        <w:jc w:val="both"/>
      </w:pPr>
    </w:p>
    <w:p w:rsidR="00A22EB9" w:rsidRPr="00A65A45" w:rsidRDefault="00A22EB9" w:rsidP="00A65A45">
      <w:pPr>
        <w:spacing w:after="120"/>
        <w:jc w:val="both"/>
        <w:rPr>
          <w:b/>
          <w:bCs/>
        </w:rPr>
      </w:pPr>
      <w:r w:rsidRPr="00A65A45">
        <w:rPr>
          <w:b/>
          <w:bCs/>
        </w:rPr>
        <w:t>Организовање научних скупова:</w:t>
      </w:r>
    </w:p>
    <w:p w:rsidR="00A22EB9" w:rsidRDefault="00A22EB9" w:rsidP="00A65A45">
      <w:pPr>
        <w:pStyle w:val="NormalWeb"/>
        <w:spacing w:before="0" w:beforeAutospacing="0" w:after="0" w:afterAutospacing="0"/>
        <w:ind w:left="1440" w:hanging="1440"/>
      </w:pPr>
      <w:r w:rsidRPr="00A65A45">
        <w:t>2012 (</w:t>
      </w:r>
      <w:r>
        <w:t>април</w:t>
      </w:r>
      <w:r w:rsidRPr="00A65A45">
        <w:t xml:space="preserve">) </w:t>
      </w:r>
      <w:r w:rsidRPr="00A65A45">
        <w:tab/>
      </w:r>
      <w:r w:rsidRPr="00914A60">
        <w:t>Dumbarton</w:t>
      </w:r>
      <w:r w:rsidRPr="00A65A45">
        <w:t xml:space="preserve"> </w:t>
      </w:r>
      <w:r w:rsidRPr="00914A60">
        <w:t>Oaks</w:t>
      </w:r>
      <w:r w:rsidRPr="00A65A45">
        <w:t xml:space="preserve"> </w:t>
      </w:r>
      <w:r w:rsidRPr="00914A60">
        <w:t>Research</w:t>
      </w:r>
      <w:r w:rsidRPr="00A65A45">
        <w:t xml:space="preserve"> </w:t>
      </w:r>
      <w:r>
        <w:t>Library</w:t>
      </w:r>
      <w:r w:rsidRPr="00A65A45">
        <w:t xml:space="preserve"> </w:t>
      </w:r>
      <w:r>
        <w:t>and</w:t>
      </w:r>
      <w:r w:rsidRPr="00A65A45">
        <w:t xml:space="preserve"> </w:t>
      </w:r>
      <w:r>
        <w:t>Collection, Вашингтон</w:t>
      </w:r>
      <w:r w:rsidRPr="00A65A45">
        <w:t xml:space="preserve"> (САД) – </w:t>
      </w:r>
      <w:r>
        <w:t>неформални научни скуп (округли сто)</w:t>
      </w:r>
      <w:r w:rsidRPr="00A65A45">
        <w:t xml:space="preserve"> “</w:t>
      </w:r>
      <w:r>
        <w:t>Monasteries</w:t>
      </w:r>
      <w:r w:rsidRPr="00A65A45">
        <w:t xml:space="preserve">, </w:t>
      </w:r>
      <w:r>
        <w:t>Monks</w:t>
      </w:r>
      <w:r w:rsidRPr="00A65A45">
        <w:t xml:space="preserve">, </w:t>
      </w:r>
      <w:r>
        <w:t>and</w:t>
      </w:r>
      <w:r w:rsidRPr="00A65A45">
        <w:t xml:space="preserve"> </w:t>
      </w:r>
      <w:r>
        <w:t>Monasticism</w:t>
      </w:r>
      <w:r w:rsidRPr="00A65A45">
        <w:t xml:space="preserve"> </w:t>
      </w:r>
      <w:r>
        <w:t>in</w:t>
      </w:r>
      <w:r w:rsidRPr="00A65A45">
        <w:t xml:space="preserve"> </w:t>
      </w:r>
      <w:r>
        <w:t>the</w:t>
      </w:r>
      <w:r w:rsidRPr="00A65A45">
        <w:t xml:space="preserve"> </w:t>
      </w:r>
      <w:r>
        <w:t>Eastern</w:t>
      </w:r>
      <w:r w:rsidRPr="00A65A45">
        <w:t xml:space="preserve"> </w:t>
      </w:r>
      <w:r>
        <w:t>Mediterranean</w:t>
      </w:r>
      <w:r w:rsidRPr="00A65A45">
        <w:t>”</w:t>
      </w:r>
      <w:r>
        <w:t xml:space="preserve"> </w:t>
      </w:r>
      <w:r w:rsidRPr="00A65A45">
        <w:t xml:space="preserve"> – </w:t>
      </w:r>
      <w:r>
        <w:t>саорганизатор и модератор</w:t>
      </w:r>
    </w:p>
    <w:p w:rsidR="00A22EB9" w:rsidRDefault="00A22EB9" w:rsidP="00A65A45">
      <w:pPr>
        <w:pStyle w:val="NormalWeb"/>
        <w:spacing w:before="0" w:beforeAutospacing="0" w:after="0" w:afterAutospacing="0"/>
        <w:ind w:left="1440" w:hanging="1440"/>
      </w:pPr>
      <w:r w:rsidRPr="00A65A45">
        <w:t>2011 (</w:t>
      </w:r>
      <w:r>
        <w:t>феб</w:t>
      </w:r>
      <w:r w:rsidRPr="00A65A45">
        <w:t xml:space="preserve">.) </w:t>
      </w:r>
      <w:r w:rsidRPr="00A65A45">
        <w:tab/>
      </w:r>
      <w:r>
        <w:t>Princeton</w:t>
      </w:r>
      <w:r w:rsidRPr="00A65A45">
        <w:t xml:space="preserve"> </w:t>
      </w:r>
      <w:r>
        <w:t xml:space="preserve">University </w:t>
      </w:r>
      <w:r w:rsidRPr="00A65A45">
        <w:t>[</w:t>
      </w:r>
      <w:r>
        <w:t>Универзитет Принстон</w:t>
      </w:r>
      <w:r w:rsidRPr="00A65A45">
        <w:t>]</w:t>
      </w:r>
      <w:r>
        <w:t xml:space="preserve"> и Princeton</w:t>
      </w:r>
      <w:r w:rsidRPr="00A65A45">
        <w:t xml:space="preserve"> </w:t>
      </w:r>
      <w:r>
        <w:t>Theological</w:t>
      </w:r>
      <w:r w:rsidRPr="00A65A45">
        <w:t xml:space="preserve"> </w:t>
      </w:r>
      <w:r>
        <w:t xml:space="preserve">Seminary </w:t>
      </w:r>
      <w:r w:rsidRPr="00A65A45">
        <w:t>[</w:t>
      </w:r>
      <w:r>
        <w:t>Принстонска богословија</w:t>
      </w:r>
      <w:r w:rsidRPr="00A65A45">
        <w:t xml:space="preserve">] – </w:t>
      </w:r>
      <w:r>
        <w:t>симпозијум Друштва Георгија Флоровског (The</w:t>
      </w:r>
      <w:r w:rsidRPr="00A65A45">
        <w:t xml:space="preserve"> </w:t>
      </w:r>
      <w:r>
        <w:t>Florovsky</w:t>
      </w:r>
      <w:r w:rsidRPr="00A65A45">
        <w:t xml:space="preserve"> </w:t>
      </w:r>
      <w:r>
        <w:t xml:space="preserve">Society) </w:t>
      </w:r>
      <w:r w:rsidRPr="00A65A45">
        <w:t>“</w:t>
      </w:r>
      <w:r>
        <w:t>On</w:t>
      </w:r>
      <w:r w:rsidRPr="00A65A45">
        <w:t xml:space="preserve"> </w:t>
      </w:r>
      <w:r>
        <w:t>the</w:t>
      </w:r>
      <w:r w:rsidRPr="00A65A45">
        <w:t xml:space="preserve"> </w:t>
      </w:r>
      <w:r>
        <w:t>Wood</w:t>
      </w:r>
      <w:r w:rsidRPr="00A65A45">
        <w:t xml:space="preserve"> </w:t>
      </w:r>
      <w:r>
        <w:t>of</w:t>
      </w:r>
      <w:r w:rsidRPr="00A65A45">
        <w:t xml:space="preserve"> </w:t>
      </w:r>
      <w:r>
        <w:t>the</w:t>
      </w:r>
      <w:r w:rsidRPr="00A65A45">
        <w:t xml:space="preserve"> </w:t>
      </w:r>
      <w:r>
        <w:t>Cross</w:t>
      </w:r>
      <w:r w:rsidRPr="00A65A45">
        <w:t xml:space="preserve">: </w:t>
      </w:r>
      <w:r>
        <w:t>The</w:t>
      </w:r>
      <w:r w:rsidRPr="00A65A45">
        <w:t xml:space="preserve"> </w:t>
      </w:r>
      <w:r>
        <w:t>Patristic</w:t>
      </w:r>
      <w:r w:rsidRPr="00A65A45">
        <w:t xml:space="preserve"> </w:t>
      </w:r>
      <w:r>
        <w:t>Doctrine</w:t>
      </w:r>
      <w:r w:rsidRPr="00A65A45">
        <w:t xml:space="preserve"> </w:t>
      </w:r>
      <w:r>
        <w:t>of</w:t>
      </w:r>
      <w:r w:rsidRPr="00A65A45">
        <w:t xml:space="preserve"> </w:t>
      </w:r>
      <w:r>
        <w:t>Atonement</w:t>
      </w:r>
      <w:r w:rsidRPr="00A65A45">
        <w:t>”</w:t>
      </w:r>
      <w:r>
        <w:t xml:space="preserve"> </w:t>
      </w:r>
      <w:r w:rsidRPr="00A65A45">
        <w:t>[</w:t>
      </w:r>
      <w:r>
        <w:t>„О Дрвету Крста: Светоотачко учење о искупљењу“</w:t>
      </w:r>
      <w:r w:rsidRPr="00A65A45">
        <w:t xml:space="preserve">] – </w:t>
      </w:r>
      <w:r>
        <w:t>члан организационог комитета</w:t>
      </w:r>
    </w:p>
    <w:p w:rsidR="00A22EB9" w:rsidRPr="00A12F0F" w:rsidRDefault="00A22EB9" w:rsidP="00587530">
      <w:pPr>
        <w:pStyle w:val="NormalWeb"/>
        <w:spacing w:before="360" w:beforeAutospacing="0" w:after="0" w:afterAutospacing="0"/>
        <w:ind w:left="1440" w:hanging="1440"/>
        <w:jc w:val="center"/>
        <w:rPr>
          <w:b/>
          <w:bCs/>
          <w:sz w:val="28"/>
          <w:szCs w:val="28"/>
        </w:rPr>
      </w:pPr>
      <w:r w:rsidRPr="00A12F0F">
        <w:rPr>
          <w:b/>
          <w:bCs/>
          <w:sz w:val="28"/>
          <w:szCs w:val="28"/>
        </w:rPr>
        <w:t>1</w:t>
      </w:r>
      <w:r>
        <w:rPr>
          <w:b/>
          <w:bCs/>
          <w:sz w:val="28"/>
          <w:szCs w:val="28"/>
        </w:rPr>
        <w:t>0</w:t>
      </w:r>
      <w:r w:rsidRPr="00A12F0F">
        <w:rPr>
          <w:b/>
          <w:bCs/>
          <w:sz w:val="28"/>
          <w:szCs w:val="28"/>
        </w:rPr>
        <w:t>. Закључак Комисије с предлогом за одлучивање</w:t>
      </w:r>
    </w:p>
    <w:p w:rsidR="00A22EB9" w:rsidRDefault="00A22EB9" w:rsidP="00A65A45">
      <w:pPr>
        <w:pStyle w:val="NormalWeb"/>
        <w:spacing w:before="0" w:beforeAutospacing="0" w:after="0" w:afterAutospacing="0"/>
        <w:ind w:left="1440" w:hanging="1440"/>
      </w:pPr>
    </w:p>
    <w:p w:rsidR="00A22EB9" w:rsidRDefault="00A22EB9" w:rsidP="00A12F0F">
      <w:pPr>
        <w:pStyle w:val="NormalWeb"/>
        <w:spacing w:before="0" w:beforeAutospacing="0" w:after="0" w:afterAutospacing="0"/>
        <w:ind w:firstLine="720"/>
        <w:jc w:val="both"/>
      </w:pPr>
      <w:r>
        <w:t>Научни доприноси које је до сада остварио др Небојша Станковић у области историје уметности, а нарочито историје средњовековне архитектуре, веома су вредни и значајни. Као што је поменуто, његови радови објављивани најчешће у публикацијама међународног значаја, одликују се изванредном упућеношћу у проблеметику којом се баве, сву изворну грађу и релевантну литеретуру о њој, као и савремену научну методологију. Осим тога ти радови показују и широку истраживачку инвентивност и потпуну преданост кандидата, па не чуди што су донели значајне научне резултате. Истраживањима архитектуре припрата средњовековних цркава на Светој Г</w:t>
      </w:r>
      <w:bookmarkStart w:id="0" w:name="_GoBack"/>
      <w:bookmarkEnd w:id="0"/>
      <w:r>
        <w:t xml:space="preserve">ори колега Станковић је увео у модерну византологију, односно у историју средњовековне уметности православних, једно ново подручје истраживања, досада неоправдано занемарено, и створио одличне основе за будући рад на њему. Радови др Небојше Станковића позитивно су цитирани у домаћој и страној научној литератури. </w:t>
      </w:r>
      <w:r w:rsidRPr="00DC5F32">
        <w:rPr>
          <w:lang w:val="ru-RU"/>
        </w:rPr>
        <w:t xml:space="preserve">Из наведене библиографије др </w:t>
      </w:r>
      <w:r>
        <w:rPr>
          <w:lang w:val="ru-RU"/>
        </w:rPr>
        <w:t>Небојше Станковића</w:t>
      </w:r>
      <w:r w:rsidRPr="00DC5F32">
        <w:rPr>
          <w:lang w:val="ru-RU"/>
        </w:rPr>
        <w:t xml:space="preserve"> јасно се може закључити да </w:t>
      </w:r>
      <w:r>
        <w:rPr>
          <w:lang w:val="ru-RU"/>
        </w:rPr>
        <w:t xml:space="preserve">га ти радови и по својим квантитативним параметрима </w:t>
      </w:r>
      <w:r w:rsidRPr="00DC5F32">
        <w:t xml:space="preserve">квалификују за избор у </w:t>
      </w:r>
      <w:r>
        <w:t xml:space="preserve">научно </w:t>
      </w:r>
      <w:r w:rsidRPr="00DC5F32">
        <w:t>звање</w:t>
      </w:r>
      <w:r w:rsidRPr="00DC5F32">
        <w:rPr>
          <w:lang w:val="ru-RU"/>
        </w:rPr>
        <w:t xml:space="preserve">. </w:t>
      </w:r>
      <w:r>
        <w:t>Надаље, током протеклог периода кандидат је пружио вредне доприносе развују историје уметности као научне дисциплине, посебно историји средњовековне архитектуре,  организујући такође теренска истраживања и научне скупове у којима је и сам учествовао, односно преносећи своја богата знања млађим колегама на куресвима које је држао на високошколским установама у земљи и иностранству.</w:t>
      </w:r>
    </w:p>
    <w:p w:rsidR="00A22EB9" w:rsidRDefault="00A22EB9" w:rsidP="00A12F0F">
      <w:pPr>
        <w:pStyle w:val="NormalWeb"/>
        <w:spacing w:before="0" w:beforeAutospacing="0" w:after="0" w:afterAutospacing="0"/>
        <w:jc w:val="both"/>
      </w:pPr>
    </w:p>
    <w:p w:rsidR="00A22EB9" w:rsidRDefault="00A22EB9" w:rsidP="00A12F0F">
      <w:pPr>
        <w:pStyle w:val="NormalWeb"/>
        <w:spacing w:before="0" w:beforeAutospacing="0" w:after="0" w:afterAutospacing="0"/>
        <w:ind w:firstLine="720"/>
        <w:jc w:val="both"/>
      </w:pPr>
      <w:r>
        <w:t>Имајући све наведено у виду, сматрамо да др Небојша Станковић и формално и суштински испуњава услове за избор у звање научног сарадника из области друштвених и хуманистичких наука, односно историје уметности. Предлажемо стога Наставно-научном већу Филозофског факултата Универзитета у Београду да донесе одговарајуђу отлуку, то јест да предложи да се др Небојша Станковић избере у звање научног сарадника.</w:t>
      </w:r>
    </w:p>
    <w:p w:rsidR="00A22EB9" w:rsidRDefault="00A22EB9" w:rsidP="00A12F0F">
      <w:pPr>
        <w:pStyle w:val="NormalWeb"/>
        <w:spacing w:before="0" w:beforeAutospacing="0" w:after="0" w:afterAutospacing="0"/>
        <w:jc w:val="both"/>
      </w:pPr>
    </w:p>
    <w:p w:rsidR="00A22EB9" w:rsidRDefault="00A22EB9" w:rsidP="00A12F0F">
      <w:pPr>
        <w:pStyle w:val="NormalWeb"/>
        <w:spacing w:before="0" w:beforeAutospacing="0" w:after="0" w:afterAutospacing="0"/>
        <w:jc w:val="both"/>
      </w:pPr>
      <w:r>
        <w:t>У Београду,</w:t>
      </w:r>
    </w:p>
    <w:p w:rsidR="00A22EB9" w:rsidRDefault="00A22EB9" w:rsidP="00A12F0F">
      <w:pPr>
        <w:pStyle w:val="NormalWeb"/>
        <w:spacing w:before="0" w:beforeAutospacing="0" w:after="0" w:afterAutospacing="0"/>
        <w:jc w:val="both"/>
      </w:pPr>
      <w:r>
        <w:t>10. октобра 2018.                                                 др Миодраг Марковић, редовни професор</w:t>
      </w:r>
    </w:p>
    <w:p w:rsidR="00A22EB9" w:rsidRDefault="00A22EB9" w:rsidP="00995E33">
      <w:pPr>
        <w:pStyle w:val="NormalWeb"/>
        <w:spacing w:before="0" w:beforeAutospacing="0" w:after="0" w:afterAutospacing="0"/>
        <w:ind w:left="3600" w:firstLine="720"/>
        <w:jc w:val="both"/>
      </w:pPr>
      <w:r>
        <w:t xml:space="preserve"> Филозофски факултет Универзитета у Београду</w:t>
      </w:r>
    </w:p>
    <w:p w:rsidR="00A22EB9" w:rsidRDefault="00A22EB9" w:rsidP="00A12F0F">
      <w:pPr>
        <w:pStyle w:val="NormalWeb"/>
        <w:spacing w:before="0" w:beforeAutospacing="0" w:after="0" w:afterAutospacing="0"/>
        <w:jc w:val="both"/>
      </w:pPr>
    </w:p>
    <w:p w:rsidR="00A22EB9" w:rsidRDefault="00A22EB9" w:rsidP="00A12F0F">
      <w:pPr>
        <w:pStyle w:val="NormalWeb"/>
        <w:spacing w:before="0" w:beforeAutospacing="0" w:after="0" w:afterAutospacing="0"/>
        <w:jc w:val="both"/>
      </w:pPr>
    </w:p>
    <w:p w:rsidR="00A22EB9" w:rsidRDefault="00A22EB9" w:rsidP="00995E33">
      <w:pPr>
        <w:pStyle w:val="NormalWeb"/>
        <w:spacing w:before="0" w:beforeAutospacing="0" w:after="0" w:afterAutospacing="0"/>
        <w:ind w:left="4320"/>
        <w:jc w:val="both"/>
      </w:pPr>
      <w:r>
        <w:t xml:space="preserve">       др Драган Војводић, редовни професор</w:t>
      </w:r>
    </w:p>
    <w:p w:rsidR="00A22EB9" w:rsidRDefault="00A22EB9" w:rsidP="00995E33">
      <w:pPr>
        <w:pStyle w:val="NormalWeb"/>
        <w:spacing w:before="0" w:beforeAutospacing="0" w:after="0" w:afterAutospacing="0"/>
        <w:ind w:left="3600" w:firstLine="720"/>
        <w:jc w:val="both"/>
      </w:pPr>
      <w:r>
        <w:t>Филозофски факултет Универзитета у Београду</w:t>
      </w:r>
    </w:p>
    <w:p w:rsidR="00A22EB9" w:rsidRDefault="00A22EB9" w:rsidP="00A12F0F">
      <w:pPr>
        <w:pStyle w:val="NormalWeb"/>
        <w:spacing w:before="0" w:beforeAutospacing="0" w:after="0" w:afterAutospacing="0"/>
        <w:jc w:val="both"/>
      </w:pPr>
    </w:p>
    <w:p w:rsidR="00A22EB9" w:rsidRDefault="00A22EB9" w:rsidP="001B7E9B">
      <w:pPr>
        <w:pStyle w:val="NormalWeb"/>
        <w:spacing w:before="0" w:beforeAutospacing="0" w:after="0" w:afterAutospacing="0"/>
      </w:pPr>
    </w:p>
    <w:p w:rsidR="00A22EB9" w:rsidRDefault="00A22EB9" w:rsidP="00995E33">
      <w:pPr>
        <w:pStyle w:val="NormalWeb"/>
        <w:spacing w:before="0" w:beforeAutospacing="0" w:after="0" w:afterAutospacing="0"/>
        <w:ind w:left="4320"/>
      </w:pPr>
      <w:r>
        <w:t>др Татјана Стародубцев, редовни професор</w:t>
      </w:r>
    </w:p>
    <w:p w:rsidR="00A22EB9" w:rsidRPr="00A65A45" w:rsidRDefault="00A22EB9" w:rsidP="00995E33">
      <w:pPr>
        <w:pStyle w:val="NormalWeb"/>
        <w:spacing w:before="0" w:beforeAutospacing="0" w:after="0" w:afterAutospacing="0"/>
        <w:ind w:left="4320" w:firstLine="720"/>
      </w:pPr>
      <w:r>
        <w:t>Академија уметности у Новом Саду</w:t>
      </w:r>
    </w:p>
    <w:p w:rsidR="00A22EB9" w:rsidRPr="004346F3" w:rsidRDefault="00A22EB9" w:rsidP="00E71B85">
      <w:pPr>
        <w:jc w:val="both"/>
      </w:pPr>
    </w:p>
    <w:sectPr w:rsidR="00A22EB9" w:rsidRPr="004346F3" w:rsidSect="002B5B47">
      <w:footerReference w:type="default" r:id="rId12"/>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2EB9" w:rsidRDefault="00A22EB9" w:rsidP="005757AB">
      <w:r>
        <w:separator/>
      </w:r>
    </w:p>
  </w:endnote>
  <w:endnote w:type="continuationSeparator" w:id="0">
    <w:p w:rsidR="00A22EB9" w:rsidRDefault="00A22EB9" w:rsidP="005757A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EB9" w:rsidRDefault="00A22EB9">
    <w:pPr>
      <w:pStyle w:val="Footer"/>
      <w:jc w:val="center"/>
    </w:pPr>
    <w:fldSimple w:instr=" PAGE   \* MERGEFORMAT ">
      <w:r>
        <w:rPr>
          <w:noProof/>
        </w:rPr>
        <w:t>12</w:t>
      </w:r>
    </w:fldSimple>
  </w:p>
  <w:p w:rsidR="00A22EB9" w:rsidRDefault="00A22EB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2EB9" w:rsidRDefault="00A22EB9" w:rsidP="005757AB">
      <w:r>
        <w:separator/>
      </w:r>
    </w:p>
  </w:footnote>
  <w:footnote w:type="continuationSeparator" w:id="0">
    <w:p w:rsidR="00A22EB9" w:rsidRDefault="00A22EB9" w:rsidP="005757A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C6C1E"/>
    <w:rsid w:val="00020531"/>
    <w:rsid w:val="0002569A"/>
    <w:rsid w:val="000972F6"/>
    <w:rsid w:val="000F16CD"/>
    <w:rsid w:val="00104177"/>
    <w:rsid w:val="0011463A"/>
    <w:rsid w:val="001239C8"/>
    <w:rsid w:val="00142706"/>
    <w:rsid w:val="00145229"/>
    <w:rsid w:val="00146C2E"/>
    <w:rsid w:val="00153550"/>
    <w:rsid w:val="001546FA"/>
    <w:rsid w:val="00164A2A"/>
    <w:rsid w:val="0017310D"/>
    <w:rsid w:val="001B7E9B"/>
    <w:rsid w:val="001D2498"/>
    <w:rsid w:val="001E0598"/>
    <w:rsid w:val="001E5C08"/>
    <w:rsid w:val="001F2C77"/>
    <w:rsid w:val="002049E1"/>
    <w:rsid w:val="00222D6D"/>
    <w:rsid w:val="0022706D"/>
    <w:rsid w:val="002839D9"/>
    <w:rsid w:val="002A0645"/>
    <w:rsid w:val="002A6386"/>
    <w:rsid w:val="002B2650"/>
    <w:rsid w:val="002B5B47"/>
    <w:rsid w:val="002D1E8F"/>
    <w:rsid w:val="00336CDF"/>
    <w:rsid w:val="00390CAD"/>
    <w:rsid w:val="004135D7"/>
    <w:rsid w:val="004346F3"/>
    <w:rsid w:val="00434D9F"/>
    <w:rsid w:val="00460847"/>
    <w:rsid w:val="004845DC"/>
    <w:rsid w:val="00486FE1"/>
    <w:rsid w:val="004D43B3"/>
    <w:rsid w:val="004E3054"/>
    <w:rsid w:val="004E77E0"/>
    <w:rsid w:val="004F6E06"/>
    <w:rsid w:val="004F71D3"/>
    <w:rsid w:val="00502F34"/>
    <w:rsid w:val="005141CC"/>
    <w:rsid w:val="00547104"/>
    <w:rsid w:val="005639ED"/>
    <w:rsid w:val="005757AB"/>
    <w:rsid w:val="00587530"/>
    <w:rsid w:val="00595DD7"/>
    <w:rsid w:val="005B5599"/>
    <w:rsid w:val="005D0179"/>
    <w:rsid w:val="005E047A"/>
    <w:rsid w:val="006240CC"/>
    <w:rsid w:val="00633CA7"/>
    <w:rsid w:val="006A1937"/>
    <w:rsid w:val="006B626D"/>
    <w:rsid w:val="006C12D2"/>
    <w:rsid w:val="006E0729"/>
    <w:rsid w:val="006E0CBF"/>
    <w:rsid w:val="00717BBD"/>
    <w:rsid w:val="00725EB6"/>
    <w:rsid w:val="007627C6"/>
    <w:rsid w:val="00770C73"/>
    <w:rsid w:val="007B0CFE"/>
    <w:rsid w:val="007B4E80"/>
    <w:rsid w:val="007D5B55"/>
    <w:rsid w:val="007D5FEC"/>
    <w:rsid w:val="007E580F"/>
    <w:rsid w:val="0080675B"/>
    <w:rsid w:val="008806AB"/>
    <w:rsid w:val="00880E32"/>
    <w:rsid w:val="0091396A"/>
    <w:rsid w:val="00914A60"/>
    <w:rsid w:val="009255EA"/>
    <w:rsid w:val="00925B57"/>
    <w:rsid w:val="009310B6"/>
    <w:rsid w:val="00937A92"/>
    <w:rsid w:val="00950DA7"/>
    <w:rsid w:val="00963400"/>
    <w:rsid w:val="009707E9"/>
    <w:rsid w:val="00995E33"/>
    <w:rsid w:val="009C6C1E"/>
    <w:rsid w:val="009D1698"/>
    <w:rsid w:val="009E55BC"/>
    <w:rsid w:val="00A12F0F"/>
    <w:rsid w:val="00A179A7"/>
    <w:rsid w:val="00A22EB9"/>
    <w:rsid w:val="00A4001C"/>
    <w:rsid w:val="00A41D7E"/>
    <w:rsid w:val="00A46D10"/>
    <w:rsid w:val="00A558E7"/>
    <w:rsid w:val="00A61FD0"/>
    <w:rsid w:val="00A65A45"/>
    <w:rsid w:val="00A92EB3"/>
    <w:rsid w:val="00AA486E"/>
    <w:rsid w:val="00AA6E7C"/>
    <w:rsid w:val="00AE5502"/>
    <w:rsid w:val="00B57824"/>
    <w:rsid w:val="00BD1134"/>
    <w:rsid w:val="00BE2F03"/>
    <w:rsid w:val="00BE7E03"/>
    <w:rsid w:val="00C060F6"/>
    <w:rsid w:val="00C13F78"/>
    <w:rsid w:val="00C148D6"/>
    <w:rsid w:val="00C24220"/>
    <w:rsid w:val="00C26682"/>
    <w:rsid w:val="00C56562"/>
    <w:rsid w:val="00C82C29"/>
    <w:rsid w:val="00C834C2"/>
    <w:rsid w:val="00CB38BC"/>
    <w:rsid w:val="00CB4E2C"/>
    <w:rsid w:val="00CC4A45"/>
    <w:rsid w:val="00CE4640"/>
    <w:rsid w:val="00D05063"/>
    <w:rsid w:val="00D27E2F"/>
    <w:rsid w:val="00D30B36"/>
    <w:rsid w:val="00D55EAA"/>
    <w:rsid w:val="00D60259"/>
    <w:rsid w:val="00D74B24"/>
    <w:rsid w:val="00D817AA"/>
    <w:rsid w:val="00D8306B"/>
    <w:rsid w:val="00DA7998"/>
    <w:rsid w:val="00DB34CC"/>
    <w:rsid w:val="00DC5F32"/>
    <w:rsid w:val="00DE207E"/>
    <w:rsid w:val="00E02E88"/>
    <w:rsid w:val="00E064DB"/>
    <w:rsid w:val="00E41E80"/>
    <w:rsid w:val="00E537B0"/>
    <w:rsid w:val="00E71B85"/>
    <w:rsid w:val="00E73418"/>
    <w:rsid w:val="00E82100"/>
    <w:rsid w:val="00EA1294"/>
    <w:rsid w:val="00EA78AA"/>
    <w:rsid w:val="00EC755A"/>
    <w:rsid w:val="00F04F2B"/>
    <w:rsid w:val="00F060E9"/>
    <w:rsid w:val="00F34D34"/>
    <w:rsid w:val="00F407AB"/>
    <w:rsid w:val="00F828D8"/>
    <w:rsid w:val="00F97D55"/>
    <w:rsid w:val="00FC38DB"/>
  </w:rsids>
  <m:mathPr>
    <m:mathFont m:val="Cambria Math"/>
    <m:brkBin m:val="before"/>
    <m:brkBinSub m:val="--"/>
    <m:smallFrac m:val="off"/>
    <m:dispDef/>
    <m:lMargin m:val="0"/>
    <m:rMargin m:val="0"/>
    <m:defJc m:val="centerGroup"/>
    <m:wrapIndent m:val="1440"/>
    <m:intLim m:val="subSup"/>
    <m:naryLim m:val="undOvr"/>
  </m:mathPr>
  <w:uiCompat97To2003/>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6C1E"/>
    <w:rPr>
      <w:rFonts w:ascii="Times New Roman" w:eastAsia="Times New Roman" w:hAnsi="Times New Roman"/>
      <w:sz w:val="24"/>
      <w:szCs w:val="24"/>
      <w:lang w:val="en-US" w:eastAsia="en-US"/>
    </w:rPr>
  </w:style>
  <w:style w:type="paragraph" w:styleId="Heading1">
    <w:name w:val="heading 1"/>
    <w:basedOn w:val="Normal"/>
    <w:next w:val="Normal"/>
    <w:link w:val="Heading1Char"/>
    <w:uiPriority w:val="99"/>
    <w:qFormat/>
    <w:rsid w:val="00C13F78"/>
    <w:pPr>
      <w:keepNext/>
      <w:keepLines/>
      <w:spacing w:before="240"/>
      <w:outlineLvl w:val="0"/>
    </w:pPr>
    <w:rPr>
      <w:rFonts w:ascii="Calibri Light" w:hAnsi="Calibri Light" w:cs="Calibri Light"/>
      <w:color w:val="2E74B5"/>
      <w:sz w:val="32"/>
      <w:szCs w:val="32"/>
    </w:rPr>
  </w:style>
  <w:style w:type="paragraph" w:styleId="Heading2">
    <w:name w:val="heading 2"/>
    <w:basedOn w:val="Normal"/>
    <w:next w:val="Normal"/>
    <w:link w:val="Heading2Char"/>
    <w:uiPriority w:val="99"/>
    <w:qFormat/>
    <w:rsid w:val="009C6C1E"/>
    <w:pPr>
      <w:keepNext/>
      <w:spacing w:line="360" w:lineRule="auto"/>
      <w:jc w:val="center"/>
      <w:outlineLvl w:val="1"/>
    </w:pPr>
    <w:rPr>
      <w:u w:val="single"/>
      <w:lang w:val="sr-Latn-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13F78"/>
    <w:rPr>
      <w:rFonts w:ascii="Calibri Light" w:hAnsi="Calibri Light" w:cs="Calibri Light"/>
      <w:color w:val="2E74B5"/>
      <w:sz w:val="32"/>
      <w:szCs w:val="32"/>
    </w:rPr>
  </w:style>
  <w:style w:type="character" w:customStyle="1" w:styleId="Heading2Char">
    <w:name w:val="Heading 2 Char"/>
    <w:basedOn w:val="DefaultParagraphFont"/>
    <w:link w:val="Heading2"/>
    <w:uiPriority w:val="99"/>
    <w:locked/>
    <w:rsid w:val="009C6C1E"/>
    <w:rPr>
      <w:rFonts w:ascii="Times New Roman" w:hAnsi="Times New Roman" w:cs="Times New Roman"/>
      <w:sz w:val="24"/>
      <w:szCs w:val="24"/>
      <w:u w:val="single"/>
      <w:lang w:val="sr-Latn-CS"/>
    </w:rPr>
  </w:style>
  <w:style w:type="paragraph" w:styleId="BodyTextIndent">
    <w:name w:val="Body Text Indent"/>
    <w:basedOn w:val="Normal"/>
    <w:link w:val="BodyTextIndentChar"/>
    <w:uiPriority w:val="99"/>
    <w:rsid w:val="009C6C1E"/>
    <w:pPr>
      <w:spacing w:after="120" w:line="360" w:lineRule="auto"/>
      <w:ind w:firstLine="720"/>
      <w:jc w:val="both"/>
    </w:pPr>
    <w:rPr>
      <w:lang w:val="sr-Cyrl-CS"/>
    </w:rPr>
  </w:style>
  <w:style w:type="character" w:customStyle="1" w:styleId="BodyTextIndentChar">
    <w:name w:val="Body Text Indent Char"/>
    <w:basedOn w:val="DefaultParagraphFont"/>
    <w:link w:val="BodyTextIndent"/>
    <w:uiPriority w:val="99"/>
    <w:locked/>
    <w:rsid w:val="009C6C1E"/>
    <w:rPr>
      <w:rFonts w:ascii="Times New Roman" w:hAnsi="Times New Roman" w:cs="Times New Roman"/>
      <w:sz w:val="24"/>
      <w:szCs w:val="24"/>
      <w:lang w:val="sr-Cyrl-CS"/>
    </w:rPr>
  </w:style>
  <w:style w:type="character" w:styleId="Emphasis">
    <w:name w:val="Emphasis"/>
    <w:basedOn w:val="DefaultParagraphFont"/>
    <w:uiPriority w:val="99"/>
    <w:qFormat/>
    <w:rsid w:val="00C13F78"/>
    <w:rPr>
      <w:i/>
      <w:iCs/>
    </w:rPr>
  </w:style>
  <w:style w:type="character" w:styleId="Hyperlink">
    <w:name w:val="Hyperlink"/>
    <w:basedOn w:val="DefaultParagraphFont"/>
    <w:uiPriority w:val="99"/>
    <w:rsid w:val="00C13F78"/>
    <w:rPr>
      <w:rFonts w:ascii="Arial" w:hAnsi="Arial" w:cs="Arial"/>
      <w:color w:val="0000CC"/>
      <w:u w:val="single"/>
    </w:rPr>
  </w:style>
  <w:style w:type="paragraph" w:styleId="ListParagraph">
    <w:name w:val="List Paragraph"/>
    <w:basedOn w:val="Normal"/>
    <w:uiPriority w:val="99"/>
    <w:qFormat/>
    <w:rsid w:val="00460847"/>
    <w:pPr>
      <w:ind w:left="720"/>
    </w:pPr>
  </w:style>
  <w:style w:type="paragraph" w:styleId="NormalWeb">
    <w:name w:val="Normal (Web)"/>
    <w:basedOn w:val="Normal"/>
    <w:uiPriority w:val="99"/>
    <w:rsid w:val="00A41D7E"/>
    <w:pPr>
      <w:spacing w:before="100" w:beforeAutospacing="1" w:after="100" w:afterAutospacing="1"/>
    </w:pPr>
  </w:style>
  <w:style w:type="paragraph" w:styleId="Footer">
    <w:name w:val="footer"/>
    <w:basedOn w:val="Normal"/>
    <w:link w:val="FooterChar"/>
    <w:uiPriority w:val="99"/>
    <w:rsid w:val="004346F3"/>
    <w:pPr>
      <w:tabs>
        <w:tab w:val="center" w:pos="4680"/>
        <w:tab w:val="right" w:pos="9360"/>
      </w:tabs>
    </w:pPr>
  </w:style>
  <w:style w:type="character" w:customStyle="1" w:styleId="FooterChar">
    <w:name w:val="Footer Char"/>
    <w:basedOn w:val="DefaultParagraphFont"/>
    <w:link w:val="Footer"/>
    <w:uiPriority w:val="99"/>
    <w:locked/>
    <w:rsid w:val="004346F3"/>
    <w:rPr>
      <w:rFonts w:ascii="Times New Roman" w:hAnsi="Times New Roman" w:cs="Times New Roman"/>
      <w:sz w:val="24"/>
      <w:szCs w:val="24"/>
    </w:rPr>
  </w:style>
  <w:style w:type="character" w:customStyle="1" w:styleId="apple-style-span">
    <w:name w:val="apple-style-span"/>
    <w:basedOn w:val="DefaultParagraphFont"/>
    <w:uiPriority w:val="99"/>
    <w:rsid w:val="001D2498"/>
  </w:style>
  <w:style w:type="paragraph" w:customStyle="1" w:styleId="Default">
    <w:name w:val="Default"/>
    <w:uiPriority w:val="99"/>
    <w:rsid w:val="00F04F2B"/>
    <w:pPr>
      <w:autoSpaceDE w:val="0"/>
      <w:autoSpaceDN w:val="0"/>
      <w:adjustRightInd w:val="0"/>
    </w:pPr>
    <w:rPr>
      <w:rFonts w:ascii="Arial" w:eastAsia="Times New Roman" w:hAnsi="Arial" w:cs="Arial"/>
      <w:color w:val="000000"/>
      <w:sz w:val="24"/>
      <w:szCs w:val="24"/>
      <w:lang w:val="en-US" w:eastAsia="en-US"/>
    </w:rPr>
  </w:style>
  <w:style w:type="paragraph" w:styleId="Header">
    <w:name w:val="header"/>
    <w:basedOn w:val="Normal"/>
    <w:link w:val="HeaderChar"/>
    <w:uiPriority w:val="99"/>
    <w:rsid w:val="005757AB"/>
    <w:pPr>
      <w:tabs>
        <w:tab w:val="center" w:pos="4680"/>
        <w:tab w:val="right" w:pos="9360"/>
      </w:tabs>
    </w:pPr>
  </w:style>
  <w:style w:type="character" w:customStyle="1" w:styleId="HeaderChar">
    <w:name w:val="Header Char"/>
    <w:basedOn w:val="DefaultParagraphFont"/>
    <w:link w:val="Header"/>
    <w:uiPriority w:val="99"/>
    <w:locked/>
    <w:rsid w:val="005757AB"/>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onstantinople.ehw.gr/forms/fLemmaBodyExtended.aspx?lemmaID=12328"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constantinople.ehw.gr/forms/fLemmaBodyExtended.aspx?lemmaID=10892"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cademia.edu/15415509/_Ni%C5%A1ka_Banja_Modern_Architecture_for_a_Modern_Spa_in_Jelena_Bogdanovi%C4%87_Lilien_F._Robinson_and_Igor_Marjanovi%C4%87_eds._On_the_Very_Edge_Modernism_and_Modernity_in_the_Arts_and_Architecture_of_Interwar_Serbia_1918-1941_Leuven_Leuven_University_Press_2014_247-268" TargetMode="External"/><Relationship Id="rId11" Type="http://schemas.openxmlformats.org/officeDocument/2006/relationships/hyperlink" Target="https://catalog.princeton.edu/catalog/10431173" TargetMode="External"/><Relationship Id="rId5" Type="http://schemas.openxmlformats.org/officeDocument/2006/relationships/endnotes" Target="endnotes.xml"/><Relationship Id="rId10" Type="http://schemas.openxmlformats.org/officeDocument/2006/relationships/hyperlink" Target="https://www.academia.edu/2243427/_Milutin_Borisavljevi%C4%87_and_His_Scientific_Aesthetics_of_Architecture_in_Serbian_Studies_Journal_of_the_North_American_Society_for_Serbian_Studies_22_2_2008_published_in_2011_pp._133-147" TargetMode="External"/><Relationship Id="rId4" Type="http://schemas.openxmlformats.org/officeDocument/2006/relationships/footnotes" Target="footnotes.xml"/><Relationship Id="rId9" Type="http://schemas.openxmlformats.org/officeDocument/2006/relationships/hyperlink" Target="http://constantinople.ehw.gr/forms/fLemmaBodyExtended.aspx?lemmaID=10907"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25</TotalTime>
  <Pages>12</Pages>
  <Words>4700</Words>
  <Characters>26793</Characters>
  <Application>Microsoft Office Outlook</Application>
  <DocSecurity>0</DocSecurity>
  <Lines>0</Lines>
  <Paragraphs>0</Paragraphs>
  <ScaleCrop>false</ScaleCrop>
  <Company>FF</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НАСТАВНО - НАУЧНОМ ВЕЋУ </dc:title>
  <dc:subject/>
  <dc:creator>Dragon</dc:creator>
  <cp:keywords/>
  <dc:description/>
  <cp:lastModifiedBy>Snezana Nikolic</cp:lastModifiedBy>
  <cp:revision>2</cp:revision>
  <cp:lastPrinted>2018-10-15T10:37:00Z</cp:lastPrinted>
  <dcterms:created xsi:type="dcterms:W3CDTF">2018-10-15T10:51:00Z</dcterms:created>
  <dcterms:modified xsi:type="dcterms:W3CDTF">2018-10-15T10:51:00Z</dcterms:modified>
</cp:coreProperties>
</file>